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A9E" w:rsidRDefault="00572A9E">
      <w:pPr>
        <w:spacing w:after="0"/>
        <w:ind w:left="-539" w:right="40"/>
        <w:jc w:val="both"/>
      </w:pPr>
    </w:p>
    <w:p w:rsidR="00572A9E" w:rsidRDefault="00D916A5">
      <w:pPr>
        <w:spacing w:after="51"/>
        <w:ind w:left="305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88"/>
        </w:rPr>
        <w:t xml:space="preserve">Obchodní korporace </w:t>
      </w:r>
    </w:p>
    <w:p w:rsidR="00572A9E" w:rsidRDefault="00D916A5">
      <w:pPr>
        <w:numPr>
          <w:ilvl w:val="0"/>
          <w:numId w:val="1"/>
        </w:numPr>
        <w:spacing w:after="110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obchodními korporacemi jsou obchodní společnosti a družstva </w:t>
      </w:r>
    </w:p>
    <w:p w:rsidR="00572A9E" w:rsidRDefault="00D916A5">
      <w:pPr>
        <w:numPr>
          <w:ilvl w:val="0"/>
          <w:numId w:val="1"/>
        </w:numPr>
        <w:spacing w:after="110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obch. </w:t>
      </w:r>
      <w:proofErr w:type="gramStart"/>
      <w:r>
        <w:rPr>
          <w:rFonts w:ascii="Times New Roman" w:eastAsia="Times New Roman" w:hAnsi="Times New Roman" w:cs="Times New Roman"/>
          <w:sz w:val="56"/>
        </w:rPr>
        <w:t>společnostmi</w:t>
      </w:r>
      <w:proofErr w:type="gramEnd"/>
      <w:r>
        <w:rPr>
          <w:rFonts w:ascii="Times New Roman" w:eastAsia="Times New Roman" w:hAnsi="Times New Roman" w:cs="Times New Roman"/>
          <w:sz w:val="56"/>
        </w:rPr>
        <w:t xml:space="preserve"> jsou veřejná obchodní společnost a komanditní společnost (tzv. </w:t>
      </w:r>
      <w:r>
        <w:rPr>
          <w:rFonts w:ascii="Times New Roman" w:eastAsia="Times New Roman" w:hAnsi="Times New Roman" w:cs="Times New Roman"/>
          <w:sz w:val="56"/>
          <w:u w:val="single" w:color="000000"/>
        </w:rPr>
        <w:t>osobní společnost</w:t>
      </w:r>
      <w:r>
        <w:rPr>
          <w:rFonts w:ascii="Times New Roman" w:eastAsia="Times New Roman" w:hAnsi="Times New Roman" w:cs="Times New Roman"/>
          <w:sz w:val="56"/>
        </w:rPr>
        <w:t xml:space="preserve">), společnost s ručením omezeným a akciová společnost (tzv. </w:t>
      </w:r>
      <w:r>
        <w:rPr>
          <w:rFonts w:ascii="Times New Roman" w:eastAsia="Times New Roman" w:hAnsi="Times New Roman" w:cs="Times New Roman"/>
          <w:sz w:val="56"/>
          <w:u w:val="single" w:color="000000"/>
        </w:rPr>
        <w:t>kapitálová společnost</w:t>
      </w:r>
      <w:r>
        <w:rPr>
          <w:rFonts w:ascii="Times New Roman" w:eastAsia="Times New Roman" w:hAnsi="Times New Roman" w:cs="Times New Roman"/>
          <w:sz w:val="56"/>
        </w:rPr>
        <w:t xml:space="preserve">) a evropská společnost a evropské hospodářské zájmové sdružení </w:t>
      </w:r>
    </w:p>
    <w:p w:rsidR="00572A9E" w:rsidRDefault="00D916A5">
      <w:pPr>
        <w:numPr>
          <w:ilvl w:val="0"/>
          <w:numId w:val="1"/>
        </w:numPr>
        <w:spacing w:after="74" w:line="271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osobní společnost může být založena jen za podnikatelským účelem nebo za účelem správy vlastního majetku </w:t>
      </w:r>
    </w:p>
    <w:p w:rsidR="00572A9E" w:rsidRDefault="00D916A5">
      <w:pPr>
        <w:spacing w:after="185"/>
        <w:ind w:left="865"/>
      </w:pPr>
      <w:r>
        <w:rPr>
          <w:rFonts w:ascii="Times New Roman" w:eastAsia="Times New Roman" w:hAnsi="Times New Roman" w:cs="Times New Roman"/>
          <w:sz w:val="56"/>
        </w:rPr>
        <w:t xml:space="preserve"> </w:t>
      </w:r>
    </w:p>
    <w:p w:rsidR="00572A9E" w:rsidRDefault="00D916A5">
      <w:pPr>
        <w:spacing w:after="0"/>
        <w:ind w:left="865"/>
      </w:pPr>
      <w:r>
        <w:rPr>
          <w:sz w:val="64"/>
        </w:rPr>
        <w:lastRenderedPageBreak/>
        <w:t xml:space="preserve"> </w:t>
      </w:r>
    </w:p>
    <w:p w:rsidR="00572A9E" w:rsidRDefault="00D916A5">
      <w:pPr>
        <w:numPr>
          <w:ilvl w:val="0"/>
          <w:numId w:val="1"/>
        </w:numPr>
        <w:spacing w:after="110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právní jednání týkající se založení, vzniku, změny, zrušení nebo zániku obchodní korporace </w:t>
      </w:r>
      <w:r>
        <w:rPr>
          <w:rFonts w:ascii="Times New Roman" w:eastAsia="Times New Roman" w:hAnsi="Times New Roman" w:cs="Times New Roman"/>
          <w:sz w:val="56"/>
          <w:u w:val="single" w:color="000000"/>
        </w:rPr>
        <w:t>vyžadují</w:t>
      </w:r>
      <w:r>
        <w:rPr>
          <w:rFonts w:ascii="Times New Roman" w:eastAsia="Times New Roman" w:hAnsi="Times New Roman" w:cs="Times New Roman"/>
          <w:sz w:val="56"/>
        </w:rPr>
        <w:t xml:space="preserve"> </w:t>
      </w:r>
      <w:r>
        <w:rPr>
          <w:rFonts w:ascii="Times New Roman" w:eastAsia="Times New Roman" w:hAnsi="Times New Roman" w:cs="Times New Roman"/>
          <w:sz w:val="56"/>
          <w:u w:val="single" w:color="000000"/>
        </w:rPr>
        <w:t>písemnou formu s úředně ověřenými podpisy</w:t>
      </w:r>
      <w:r>
        <w:rPr>
          <w:rFonts w:ascii="Times New Roman" w:eastAsia="Times New Roman" w:hAnsi="Times New Roman" w:cs="Times New Roman"/>
          <w:sz w:val="56"/>
        </w:rPr>
        <w:t xml:space="preserve">, jinak jsou neplatná </w:t>
      </w:r>
    </w:p>
    <w:p w:rsidR="00572A9E" w:rsidRDefault="00D916A5">
      <w:pPr>
        <w:numPr>
          <w:ilvl w:val="0"/>
          <w:numId w:val="1"/>
        </w:numPr>
        <w:spacing w:after="44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obchodní korporace se zakládá společenskou smlouvou  - u </w:t>
      </w:r>
      <w:proofErr w:type="spellStart"/>
      <w:r>
        <w:rPr>
          <w:rFonts w:ascii="Times New Roman" w:eastAsia="Times New Roman" w:hAnsi="Times New Roman" w:cs="Times New Roman"/>
          <w:sz w:val="56"/>
        </w:rPr>
        <w:t>kapit</w:t>
      </w:r>
      <w:proofErr w:type="spellEnd"/>
      <w:r>
        <w:rPr>
          <w:rFonts w:ascii="Times New Roman" w:eastAsia="Times New Roman" w:hAnsi="Times New Roman" w:cs="Times New Roman"/>
          <w:sz w:val="56"/>
        </w:rPr>
        <w:t xml:space="preserve">. společností vyžaduje formu veřejné listiny, u družstva se uzavírá přijetím ustavující schůzí </w:t>
      </w:r>
    </w:p>
    <w:p w:rsidR="00572A9E" w:rsidRDefault="00D916A5">
      <w:pPr>
        <w:spacing w:after="0"/>
        <w:ind w:left="865"/>
      </w:pPr>
      <w:r>
        <w:rPr>
          <w:rFonts w:ascii="Times New Roman" w:eastAsia="Times New Roman" w:hAnsi="Times New Roman" w:cs="Times New Roman"/>
          <w:sz w:val="56"/>
        </w:rPr>
        <w:t xml:space="preserve"> </w:t>
      </w:r>
    </w:p>
    <w:p w:rsidR="00572A9E" w:rsidRDefault="00D916A5">
      <w:pPr>
        <w:numPr>
          <w:ilvl w:val="0"/>
          <w:numId w:val="1"/>
        </w:numPr>
        <w:spacing w:after="110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kapitálovou společnost může založit jediný zakladatel - zakládá se zakladatelskou listinou pořízenou ve formě veřejné listiny </w:t>
      </w:r>
    </w:p>
    <w:p w:rsidR="00572A9E" w:rsidRDefault="00D916A5">
      <w:pPr>
        <w:numPr>
          <w:ilvl w:val="0"/>
          <w:numId w:val="1"/>
        </w:numPr>
        <w:spacing w:after="110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základní kapitál (ZK)obchodní korporace je souhrn všech vkladů </w:t>
      </w:r>
    </w:p>
    <w:p w:rsidR="00572A9E" w:rsidRDefault="00D916A5">
      <w:pPr>
        <w:numPr>
          <w:ilvl w:val="0"/>
          <w:numId w:val="1"/>
        </w:numPr>
        <w:spacing w:after="110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vkladem je peněžní vyjádření hodnoty předmětu vkladu do ZK, u akciové společnosti se vklad označuje jako jmenovitá nebo účetní hodnota </w:t>
      </w:r>
    </w:p>
    <w:p w:rsidR="00CE16E5" w:rsidRPr="00CE16E5" w:rsidRDefault="00D916A5">
      <w:pPr>
        <w:numPr>
          <w:ilvl w:val="0"/>
          <w:numId w:val="1"/>
        </w:numPr>
        <w:spacing w:after="27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podíl představuje účast společníka v obchodní korporaci a práva a povinnosti z této účasti plynoucí </w:t>
      </w:r>
    </w:p>
    <w:p w:rsidR="00CE16E5" w:rsidRPr="00CE16E5" w:rsidRDefault="00CE16E5" w:rsidP="00CE16E5">
      <w:pPr>
        <w:spacing w:after="27" w:line="283" w:lineRule="auto"/>
        <w:ind w:left="850"/>
      </w:pPr>
    </w:p>
    <w:p w:rsidR="00CE16E5" w:rsidRDefault="00CE16E5" w:rsidP="00CE16E5">
      <w:pPr>
        <w:spacing w:after="27" w:line="283" w:lineRule="auto"/>
        <w:rPr>
          <w:rFonts w:ascii="Times New Roman" w:eastAsia="Times New Roman" w:hAnsi="Times New Roman" w:cs="Times New Roman"/>
          <w:b/>
          <w:color w:val="0033CC"/>
          <w:sz w:val="56"/>
        </w:rPr>
      </w:pPr>
    </w:p>
    <w:p w:rsidR="00CE16E5" w:rsidRDefault="00CE16E5" w:rsidP="00CE16E5">
      <w:pPr>
        <w:spacing w:after="27" w:line="283" w:lineRule="auto"/>
        <w:rPr>
          <w:rFonts w:ascii="Times New Roman" w:eastAsia="Times New Roman" w:hAnsi="Times New Roman" w:cs="Times New Roman"/>
          <w:b/>
          <w:color w:val="0033CC"/>
          <w:sz w:val="56"/>
        </w:rPr>
      </w:pPr>
    </w:p>
    <w:p w:rsidR="00CE16E5" w:rsidRDefault="00CE16E5" w:rsidP="00CE16E5">
      <w:pPr>
        <w:spacing w:after="27" w:line="283" w:lineRule="auto"/>
        <w:rPr>
          <w:rFonts w:ascii="Times New Roman" w:eastAsia="Times New Roman" w:hAnsi="Times New Roman" w:cs="Times New Roman"/>
          <w:b/>
          <w:color w:val="0033CC"/>
          <w:sz w:val="56"/>
        </w:rPr>
      </w:pPr>
    </w:p>
    <w:p w:rsidR="00CE16E5" w:rsidRDefault="00CE16E5" w:rsidP="00CE16E5">
      <w:pPr>
        <w:spacing w:after="27" w:line="283" w:lineRule="auto"/>
        <w:rPr>
          <w:rFonts w:ascii="Times New Roman" w:eastAsia="Times New Roman" w:hAnsi="Times New Roman" w:cs="Times New Roman"/>
          <w:b/>
          <w:color w:val="0033CC"/>
          <w:sz w:val="56"/>
        </w:rPr>
      </w:pPr>
    </w:p>
    <w:p w:rsidR="00572A9E" w:rsidRDefault="00D916A5" w:rsidP="00CE16E5">
      <w:pPr>
        <w:spacing w:after="27" w:line="283" w:lineRule="auto"/>
      </w:pPr>
      <w:r>
        <w:rPr>
          <w:rFonts w:ascii="Times New Roman" w:eastAsia="Times New Roman" w:hAnsi="Times New Roman" w:cs="Times New Roman"/>
          <w:b/>
          <w:color w:val="0033CC"/>
          <w:sz w:val="56"/>
        </w:rPr>
        <w:lastRenderedPageBreak/>
        <w:t xml:space="preserve">Veřejná obchodní společnost </w:t>
      </w:r>
    </w:p>
    <w:tbl>
      <w:tblPr>
        <w:tblStyle w:val="TableGrid"/>
        <w:tblW w:w="12662" w:type="dxa"/>
        <w:tblInd w:w="-112" w:type="dxa"/>
        <w:tblLook w:val="04A0" w:firstRow="1" w:lastRow="0" w:firstColumn="1" w:lastColumn="0" w:noHBand="0" w:noVBand="1"/>
      </w:tblPr>
      <w:tblGrid>
        <w:gridCol w:w="3175"/>
        <w:gridCol w:w="9487"/>
      </w:tblGrid>
      <w:tr w:rsidR="00572A9E">
        <w:trPr>
          <w:trHeight w:val="6805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charakteristika </w:t>
            </w:r>
          </w:p>
          <w:p w:rsidR="00572A9E" w:rsidRDefault="00D916A5">
            <w:pPr>
              <w:spacing w:after="119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44" w:line="305" w:lineRule="auto"/>
              <w:ind w:right="543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založení vznik základní kapitál podíl </w:t>
            </w: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ab/>
              <w:t xml:space="preserve">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statutární orgán </w:t>
            </w:r>
          </w:p>
          <w:p w:rsidR="00572A9E" w:rsidRDefault="00D916A5">
            <w:pPr>
              <w:spacing w:after="117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ručení </w:t>
            </w:r>
          </w:p>
          <w:p w:rsidR="00572A9E" w:rsidRDefault="00D916A5">
            <w:pPr>
              <w:spacing w:after="61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ind w:right="843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účast na zisku zrušení zánik </w:t>
            </w:r>
          </w:p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numPr>
                <w:ilvl w:val="0"/>
                <w:numId w:val="5"/>
              </w:numPr>
              <w:spacing w:after="86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společnost alespoň dvou osob, které ručí za její dluhy společně a nerozdílně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67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společnost se uzavírá společenskou smlouvou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131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zápisem do OR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98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výše vkladu není stanovena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134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stejné pro společníky nestanoví-li spol. smlouva jinak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50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všichni společníci, spol. smlouva může určit pouze některé společníky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100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společníci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ručí za závazky společnosti veškerým svým majetkem společně a nerozdílně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124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>zisk a ztráta se dělí mezi společníky rovným dílem</w:t>
            </w:r>
            <w:r>
              <w:rPr>
                <w:b/>
                <w:sz w:val="40"/>
              </w:rPr>
              <w:t xml:space="preserve"> </w:t>
            </w:r>
          </w:p>
          <w:p w:rsidR="00572A9E" w:rsidRDefault="00D916A5">
            <w:pPr>
              <w:numPr>
                <w:ilvl w:val="0"/>
                <w:numId w:val="5"/>
              </w:numPr>
              <w:spacing w:after="113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dle zákona o obchodních korporacích </w:t>
            </w:r>
          </w:p>
          <w:p w:rsidR="00572A9E" w:rsidRDefault="00D916A5">
            <w:pPr>
              <w:numPr>
                <w:ilvl w:val="0"/>
                <w:numId w:val="5"/>
              </w:numPr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dnem výmazu z OR </w:t>
            </w:r>
          </w:p>
        </w:tc>
      </w:tr>
    </w:tbl>
    <w:p w:rsidR="00CE16E5" w:rsidRDefault="00CE16E5" w:rsidP="00CE16E5">
      <w:pPr>
        <w:pStyle w:val="Nadpis1"/>
        <w:ind w:left="0" w:firstLine="0"/>
      </w:pPr>
    </w:p>
    <w:p w:rsidR="00CE16E5" w:rsidRDefault="00CE16E5" w:rsidP="00CE16E5">
      <w:pPr>
        <w:pStyle w:val="Nadpis1"/>
        <w:ind w:left="0" w:firstLine="0"/>
      </w:pPr>
    </w:p>
    <w:p w:rsidR="00CE16E5" w:rsidRDefault="00CE16E5" w:rsidP="00CE16E5">
      <w:pPr>
        <w:pStyle w:val="Nadpis1"/>
        <w:ind w:left="0" w:firstLine="0"/>
      </w:pPr>
    </w:p>
    <w:p w:rsidR="00CE16E5" w:rsidRDefault="00CE16E5" w:rsidP="00CE16E5">
      <w:pPr>
        <w:pStyle w:val="Nadpis1"/>
        <w:ind w:left="0" w:firstLine="0"/>
      </w:pPr>
    </w:p>
    <w:p w:rsidR="00CE16E5" w:rsidRDefault="00CE16E5" w:rsidP="00CE16E5">
      <w:pPr>
        <w:pStyle w:val="Nadpis1"/>
        <w:ind w:left="0" w:firstLine="0"/>
      </w:pPr>
    </w:p>
    <w:p w:rsidR="00CE16E5" w:rsidRDefault="00CE16E5" w:rsidP="00CE16E5">
      <w:pPr>
        <w:pStyle w:val="Nadpis1"/>
        <w:ind w:left="0" w:firstLine="0"/>
      </w:pPr>
    </w:p>
    <w:p w:rsidR="00CE16E5" w:rsidRDefault="00CE16E5" w:rsidP="00CE16E5">
      <w:pPr>
        <w:pStyle w:val="Nadpis1"/>
        <w:ind w:left="0" w:firstLine="0"/>
      </w:pPr>
    </w:p>
    <w:p w:rsidR="00CE16E5" w:rsidRDefault="00CE16E5" w:rsidP="00CE16E5">
      <w:pPr>
        <w:pStyle w:val="Nadpis1"/>
        <w:ind w:left="0" w:firstLine="0"/>
      </w:pPr>
    </w:p>
    <w:bookmarkStart w:id="0" w:name="_GoBack"/>
    <w:bookmarkEnd w:id="0"/>
    <w:p w:rsidR="00572A9E" w:rsidRDefault="00D916A5" w:rsidP="00CE16E5">
      <w:pPr>
        <w:pStyle w:val="Nadpis1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2543302</wp:posOffset>
                </wp:positionH>
                <wp:positionV relativeFrom="page">
                  <wp:posOffset>6825644</wp:posOffset>
                </wp:positionV>
                <wp:extent cx="69799" cy="309071"/>
                <wp:effectExtent l="0" t="0" r="0" b="0"/>
                <wp:wrapTopAndBottom/>
                <wp:docPr id="4912" name="Group 4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99" cy="309071"/>
                          <a:chOff x="0" y="0"/>
                          <a:chExt cx="69799" cy="309071"/>
                        </a:xfrm>
                      </wpg:grpSpPr>
                      <wps:wsp>
                        <wps:cNvPr id="354" name="Rectangle 354"/>
                        <wps:cNvSpPr/>
                        <wps:spPr>
                          <a:xfrm>
                            <a:off x="0" y="0"/>
                            <a:ext cx="92833" cy="411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A9E" w:rsidRDefault="00D916A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12" o:spid="_x0000_s1026" style="position:absolute;left:0;text-align:left;margin-left:200.25pt;margin-top:537.45pt;width:5.5pt;height:24.35pt;z-index:251659264;mso-position-horizontal-relative:page;mso-position-vertical-relative:page" coordsize="69799,30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">
                <v:rect id="Rectangle 354" o:spid="_x0000_s1027" style="position:absolute;width:92833;height:411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rt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3q7XHAAAA3AAAAA8AAAAAAAAAAAAAAAAAmAIAAGRy&#10;cy9kb3ducmV2LnhtbFBLBQYAAAAABAAEAPUAAACMAwAAAAA=&#10;" filled="f" stroked="f">
                  <v:textbox inset="0,0,0,0">
                    <w:txbxContent>
                      <w:p w:rsidR="00572A9E" w:rsidRDefault="00D916A5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Komanditní společnost </w:t>
      </w:r>
    </w:p>
    <w:tbl>
      <w:tblPr>
        <w:tblStyle w:val="TableGrid"/>
        <w:tblW w:w="13355" w:type="dxa"/>
        <w:tblInd w:w="-112" w:type="dxa"/>
        <w:tblLook w:val="04A0" w:firstRow="1" w:lastRow="0" w:firstColumn="1" w:lastColumn="0" w:noHBand="0" w:noVBand="1"/>
      </w:tblPr>
      <w:tblGrid>
        <w:gridCol w:w="3290"/>
        <w:gridCol w:w="10065"/>
      </w:tblGrid>
      <w:tr w:rsidR="00572A9E">
        <w:trPr>
          <w:trHeight w:val="917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lastRenderedPageBreak/>
              <w:t xml:space="preserve">charakteristika </w:t>
            </w:r>
          </w:p>
          <w:p w:rsidR="00572A9E" w:rsidRDefault="00D916A5">
            <w:pPr>
              <w:spacing w:after="19" w:line="279" w:lineRule="auto"/>
              <w:ind w:right="3190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143" w:line="279" w:lineRule="auto"/>
              <w:ind w:right="985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založení vznik </w:t>
            </w:r>
          </w:p>
          <w:p w:rsidR="00572A9E" w:rsidRDefault="00D916A5">
            <w:pPr>
              <w:spacing w:after="39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základní kapitál </w:t>
            </w:r>
          </w:p>
          <w:p w:rsidR="00572A9E" w:rsidRDefault="00D916A5">
            <w:pPr>
              <w:spacing w:after="175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podíl  </w:t>
            </w:r>
          </w:p>
          <w:p w:rsidR="00572A9E" w:rsidRDefault="00D916A5">
            <w:pPr>
              <w:spacing w:after="181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99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statutární orgán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57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77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ručení </w:t>
            </w:r>
          </w:p>
          <w:p w:rsidR="00572A9E" w:rsidRDefault="00D916A5">
            <w:pPr>
              <w:spacing w:line="249" w:lineRule="auto"/>
              <w:ind w:right="3181"/>
            </w:pP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 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 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numPr>
                <w:ilvl w:val="0"/>
                <w:numId w:val="6"/>
              </w:numPr>
              <w:spacing w:after="64" w:line="288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společnost, v níž alespoň jeden společník ručí za její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40"/>
              </w:rPr>
              <w:t>dluhy  omezeně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komanditista)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a alespoň jeden společník neomezeně (</w:t>
            </w: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komplementář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) </w:t>
            </w:r>
          </w:p>
          <w:p w:rsidR="00572A9E" w:rsidRDefault="00D916A5">
            <w:pPr>
              <w:numPr>
                <w:ilvl w:val="0"/>
                <w:numId w:val="6"/>
              </w:numPr>
              <w:spacing w:after="128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společnost se uzavírá společenskou smlouvou </w:t>
            </w:r>
          </w:p>
          <w:p w:rsidR="00572A9E" w:rsidRDefault="00D916A5">
            <w:pPr>
              <w:numPr>
                <w:ilvl w:val="0"/>
                <w:numId w:val="6"/>
              </w:numPr>
              <w:spacing w:after="205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zápisem do OR </w:t>
            </w:r>
          </w:p>
          <w:p w:rsidR="00572A9E" w:rsidRDefault="00D916A5">
            <w:pPr>
              <w:numPr>
                <w:ilvl w:val="0"/>
                <w:numId w:val="6"/>
              </w:numPr>
              <w:spacing w:after="144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vkladovou povinnost má </w:t>
            </w: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komanditista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- výše vkladu stanovena ve společenské smlouvě </w:t>
            </w:r>
          </w:p>
          <w:p w:rsidR="00572A9E" w:rsidRDefault="00D916A5">
            <w:pPr>
              <w:numPr>
                <w:ilvl w:val="0"/>
                <w:numId w:val="6"/>
              </w:numPr>
              <w:spacing w:after="181" w:line="274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podíly </w:t>
            </w: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komanditistů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se určují podle poměru jejich vkladů</w:t>
            </w:r>
            <w:r>
              <w:rPr>
                <w:sz w:val="4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</w:t>
            </w:r>
          </w:p>
          <w:p w:rsidR="00572A9E" w:rsidRDefault="00D916A5">
            <w:pPr>
              <w:numPr>
                <w:ilvl w:val="0"/>
                <w:numId w:val="6"/>
              </w:numPr>
              <w:spacing w:after="184" w:line="27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všichni </w:t>
            </w: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komplementáři,</w:t>
            </w:r>
            <w:r>
              <w:rPr>
                <w:b/>
                <w:sz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společenská smlouva může určit, že statutárním orgánem společnosti jsou pouze někteří z komplementářů </w:t>
            </w:r>
          </w:p>
          <w:p w:rsidR="00572A9E" w:rsidRDefault="00D916A5">
            <w:pPr>
              <w:numPr>
                <w:ilvl w:val="0"/>
                <w:numId w:val="6"/>
              </w:numPr>
              <w:spacing w:after="96" w:line="273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za dluhy společnosti ručí komanditista s ostatními společníky společně a nerozdílně do výše svého nesplaceného vkladu podle stavu zápisu v OR </w:t>
            </w:r>
          </w:p>
          <w:p w:rsidR="00572A9E" w:rsidRDefault="00D916A5">
            <w:pPr>
              <w:spacing w:after="84"/>
              <w:ind w:left="288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sz w:val="44"/>
              </w:rPr>
              <w:lastRenderedPageBreak/>
              <w:t xml:space="preserve"> </w:t>
            </w:r>
          </w:p>
        </w:tc>
      </w:tr>
    </w:tbl>
    <w:p w:rsidR="00572A9E" w:rsidRDefault="00572A9E">
      <w:pPr>
        <w:sectPr w:rsidR="00572A9E">
          <w:headerReference w:type="even" r:id="rId7"/>
          <w:headerReference w:type="default" r:id="rId8"/>
          <w:headerReference w:type="first" r:id="rId9"/>
          <w:pgSz w:w="14400" w:h="10800" w:orient="landscape"/>
          <w:pgMar w:top="584" w:right="810" w:bottom="93" w:left="539" w:header="708" w:footer="708" w:gutter="0"/>
          <w:cols w:space="708"/>
        </w:sectPr>
      </w:pPr>
    </w:p>
    <w:p w:rsidR="00572A9E" w:rsidRDefault="00572A9E">
      <w:pPr>
        <w:spacing w:after="0"/>
        <w:ind w:left="-427" w:right="13451"/>
      </w:pPr>
    </w:p>
    <w:tbl>
      <w:tblPr>
        <w:tblStyle w:val="TableGrid"/>
        <w:tblW w:w="13299" w:type="dxa"/>
        <w:tblInd w:w="0" w:type="dxa"/>
        <w:tblCellMar>
          <w:top w:w="81" w:type="dxa"/>
        </w:tblCellMar>
        <w:tblLook w:val="04A0" w:firstRow="1" w:lastRow="0" w:firstColumn="1" w:lastColumn="0" w:noHBand="0" w:noVBand="1"/>
      </w:tblPr>
      <w:tblGrid>
        <w:gridCol w:w="3290"/>
        <w:gridCol w:w="10009"/>
      </w:tblGrid>
      <w:tr w:rsidR="00572A9E">
        <w:trPr>
          <w:trHeight w:val="3727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spacing w:after="98"/>
            </w:pP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účast na zisku </w:t>
            </w:r>
          </w:p>
          <w:p w:rsidR="00572A9E" w:rsidRDefault="00D916A5">
            <w:pPr>
              <w:spacing w:after="99"/>
            </w:pP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 </w:t>
            </w:r>
          </w:p>
          <w:p w:rsidR="00572A9E" w:rsidRDefault="00D916A5">
            <w:pPr>
              <w:spacing w:after="98"/>
            </w:pP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 </w:t>
            </w:r>
          </w:p>
          <w:p w:rsidR="00572A9E" w:rsidRDefault="00D916A5">
            <w:pPr>
              <w:spacing w:after="185"/>
            </w:pP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 </w:t>
            </w:r>
          </w:p>
          <w:p w:rsidR="00572A9E" w:rsidRDefault="00D916A5">
            <w:pPr>
              <w:ind w:right="886"/>
            </w:pP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zrušení zánik </w:t>
            </w:r>
          </w:p>
        </w:tc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spacing w:after="145" w:line="267" w:lineRule="auto"/>
              <w:ind w:left="28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zisk a ztráta se dělí mezi společnost a komplementáře na polovinu, neurčí-li spol. smlouva jinak </w:t>
            </w:r>
          </w:p>
          <w:p w:rsidR="00572A9E" w:rsidRDefault="00D916A5">
            <w:pPr>
              <w:numPr>
                <w:ilvl w:val="0"/>
                <w:numId w:val="7"/>
              </w:numPr>
              <w:spacing w:after="156" w:line="272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část zisku, která připadla společnosti, se po zdanění rozdělí mezi komanditisty v poměru jejich podílů, ztrátu komanditisté nenesou </w:t>
            </w:r>
          </w:p>
          <w:p w:rsidR="00572A9E" w:rsidRDefault="00D916A5">
            <w:pPr>
              <w:numPr>
                <w:ilvl w:val="0"/>
                <w:numId w:val="7"/>
              </w:numPr>
              <w:spacing w:after="113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dle zákona o obchodních korporacích </w:t>
            </w:r>
          </w:p>
          <w:p w:rsidR="00572A9E" w:rsidRDefault="00D916A5">
            <w:pPr>
              <w:numPr>
                <w:ilvl w:val="0"/>
                <w:numId w:val="7"/>
              </w:numPr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dnem výmazu z OR </w:t>
            </w:r>
          </w:p>
        </w:tc>
      </w:tr>
    </w:tbl>
    <w:p w:rsidR="00572A9E" w:rsidRDefault="00D916A5">
      <w:r>
        <w:br w:type="page"/>
      </w:r>
    </w:p>
    <w:p w:rsidR="00572A9E" w:rsidRDefault="00D916A5">
      <w:pPr>
        <w:pStyle w:val="Nadpis1"/>
        <w:ind w:left="107"/>
      </w:pPr>
      <w:r>
        <w:lastRenderedPageBreak/>
        <w:t xml:space="preserve">Společnost s ručením omezeným </w:t>
      </w:r>
    </w:p>
    <w:tbl>
      <w:tblPr>
        <w:tblStyle w:val="TableGrid"/>
        <w:tblW w:w="13283" w:type="dxa"/>
        <w:tblInd w:w="0" w:type="dxa"/>
        <w:tblLook w:val="04A0" w:firstRow="1" w:lastRow="0" w:firstColumn="1" w:lastColumn="0" w:noHBand="0" w:noVBand="1"/>
      </w:tblPr>
      <w:tblGrid>
        <w:gridCol w:w="3063"/>
        <w:gridCol w:w="10220"/>
      </w:tblGrid>
      <w:tr w:rsidR="00572A9E">
        <w:trPr>
          <w:trHeight w:val="714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charakteristika </w:t>
            </w:r>
          </w:p>
          <w:p w:rsidR="00572A9E" w:rsidRDefault="00D916A5">
            <w:pPr>
              <w:spacing w:after="50" w:line="264" w:lineRule="auto"/>
              <w:ind w:right="2963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založení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line="248" w:lineRule="auto"/>
              <w:ind w:right="2963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181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vznik </w:t>
            </w:r>
          </w:p>
          <w:p w:rsidR="00572A9E" w:rsidRDefault="00D916A5">
            <w:pPr>
              <w:spacing w:after="77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základní kapitál </w:t>
            </w:r>
          </w:p>
          <w:p w:rsidR="00572A9E" w:rsidRDefault="00D916A5">
            <w:pPr>
              <w:spacing w:after="122"/>
            </w:pP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podíl </w:t>
            </w:r>
          </w:p>
        </w:tc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numPr>
                <w:ilvl w:val="0"/>
                <w:numId w:val="8"/>
              </w:numPr>
              <w:spacing w:after="113" w:line="264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společnost, za jejíž dluhy ručí společníci společně a nerozdílně do výše, v jaké nesplnili vkladové povinnosti podle stavu zapsaného v obchodním rejstříku v době, kdy byli věřitelem vyzváni k plnění  </w:t>
            </w:r>
          </w:p>
          <w:p w:rsidR="00572A9E" w:rsidRDefault="00D916A5">
            <w:pPr>
              <w:numPr>
                <w:ilvl w:val="0"/>
                <w:numId w:val="8"/>
              </w:numPr>
              <w:spacing w:after="50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společnost se uzavírá společenskou smlouvou, vyžaduje formu veřejné listiny </w:t>
            </w:r>
          </w:p>
          <w:p w:rsidR="00572A9E" w:rsidRDefault="00D916A5">
            <w:pPr>
              <w:numPr>
                <w:ilvl w:val="0"/>
                <w:numId w:val="8"/>
              </w:numPr>
              <w:spacing w:line="298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při založení jediným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40"/>
              </w:rPr>
              <w:t>zakladatelem  se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zakládá zakladatelskou listinou pořízenou ve formě veřejné listiny </w:t>
            </w:r>
          </w:p>
          <w:p w:rsidR="00572A9E" w:rsidRDefault="00D916A5">
            <w:pPr>
              <w:numPr>
                <w:ilvl w:val="0"/>
                <w:numId w:val="8"/>
              </w:numPr>
              <w:spacing w:line="295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společníci se zapisují do seznamu společníků, který vede společnost </w:t>
            </w:r>
          </w:p>
          <w:p w:rsidR="00572A9E" w:rsidRDefault="00D916A5">
            <w:pPr>
              <w:numPr>
                <w:ilvl w:val="0"/>
                <w:numId w:val="8"/>
              </w:numPr>
              <w:spacing w:after="230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zápisem do OR </w:t>
            </w:r>
          </w:p>
          <w:p w:rsidR="00572A9E" w:rsidRDefault="00D916A5">
            <w:pPr>
              <w:numPr>
                <w:ilvl w:val="0"/>
                <w:numId w:val="8"/>
              </w:numPr>
              <w:spacing w:after="85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minimální výše vkladu je 1 Kč, ledaže společenská smlouva určí, že výše vkladu je vyšší </w:t>
            </w:r>
          </w:p>
          <w:p w:rsidR="00572A9E" w:rsidRDefault="00D916A5">
            <w:pPr>
              <w:numPr>
                <w:ilvl w:val="0"/>
                <w:numId w:val="8"/>
              </w:numPr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podíl společníka se určuje podle poměru jeho vkladu na </w:t>
            </w:r>
          </w:p>
        </w:tc>
      </w:tr>
    </w:tbl>
    <w:p w:rsidR="00572A9E" w:rsidRDefault="00D916A5">
      <w:pPr>
        <w:spacing w:after="41" w:line="267" w:lineRule="auto"/>
        <w:ind w:left="3361" w:hanging="10"/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 xml:space="preserve">tento podíl připadající k výši základního kapitálu, ledaže společenská smlouva určí jinak </w:t>
      </w:r>
    </w:p>
    <w:tbl>
      <w:tblPr>
        <w:tblStyle w:val="TableGrid"/>
        <w:tblW w:w="13366" w:type="dxa"/>
        <w:tblInd w:w="0" w:type="dxa"/>
        <w:tblCellMar>
          <w:top w:w="83" w:type="dxa"/>
        </w:tblCellMar>
        <w:tblLook w:val="04A0" w:firstRow="1" w:lastRow="0" w:firstColumn="1" w:lastColumn="0" w:noHBand="0" w:noVBand="1"/>
      </w:tblPr>
      <w:tblGrid>
        <w:gridCol w:w="3290"/>
        <w:gridCol w:w="10076"/>
      </w:tblGrid>
      <w:tr w:rsidR="00572A9E">
        <w:trPr>
          <w:trHeight w:val="5185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spacing w:after="38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orgány společnosti </w:t>
            </w:r>
          </w:p>
          <w:p w:rsidR="00572A9E" w:rsidRDefault="00D916A5">
            <w:pPr>
              <w:spacing w:line="295" w:lineRule="auto"/>
              <w:ind w:right="3190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 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ručení </w:t>
            </w:r>
          </w:p>
          <w:p w:rsidR="00572A9E" w:rsidRDefault="00D916A5">
            <w:pPr>
              <w:spacing w:after="61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účast na zisku </w:t>
            </w:r>
          </w:p>
          <w:p w:rsidR="00572A9E" w:rsidRDefault="00D916A5">
            <w:pPr>
              <w:spacing w:after="5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ind w:right="1096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zrušení zánik </w:t>
            </w:r>
          </w:p>
        </w:tc>
        <w:tc>
          <w:tcPr>
            <w:tcW w:w="10075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spacing w:after="60"/>
              <w:ind w:left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valná hromada (nejvyšší orgán) </w:t>
            </w:r>
          </w:p>
          <w:p w:rsidR="00572A9E" w:rsidRDefault="00D916A5">
            <w:pPr>
              <w:numPr>
                <w:ilvl w:val="0"/>
                <w:numId w:val="9"/>
              </w:numPr>
              <w:spacing w:after="73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jednatelé (statut.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40"/>
              </w:rPr>
              <w:t>orgány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) </w:t>
            </w:r>
          </w:p>
          <w:p w:rsidR="00572A9E" w:rsidRDefault="00D916A5">
            <w:pPr>
              <w:numPr>
                <w:ilvl w:val="0"/>
                <w:numId w:val="9"/>
              </w:numPr>
              <w:spacing w:after="109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dozorčí rada (kontrolní orgán) stanoví-li spol. smlouva či jiný právní předpis </w:t>
            </w:r>
          </w:p>
          <w:p w:rsidR="00572A9E" w:rsidRDefault="00D916A5">
            <w:pPr>
              <w:numPr>
                <w:ilvl w:val="0"/>
                <w:numId w:val="9"/>
              </w:numPr>
              <w:spacing w:after="110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společnost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odpovídá celým svým majetkem, </w:t>
            </w:r>
            <w:r>
              <w:rPr>
                <w:rFonts w:ascii="Times New Roman" w:eastAsia="Times New Roman" w:hAnsi="Times New Roman" w:cs="Times New Roman"/>
                <w:b/>
                <w:sz w:val="40"/>
                <w:u w:val="single" w:color="000000"/>
              </w:rPr>
              <w:t>společníci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pouze do výše nesplaceného vkladu </w:t>
            </w:r>
          </w:p>
          <w:p w:rsidR="00572A9E" w:rsidRDefault="00D916A5">
            <w:pPr>
              <w:numPr>
                <w:ilvl w:val="0"/>
                <w:numId w:val="9"/>
              </w:numPr>
              <w:spacing w:after="113" w:line="263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zisk se rozdělí mezi společníky v poměru svých podílů, neurčí-li spol. smlouva jinak </w:t>
            </w:r>
          </w:p>
          <w:p w:rsidR="00572A9E" w:rsidRDefault="00D916A5">
            <w:pPr>
              <w:numPr>
                <w:ilvl w:val="0"/>
                <w:numId w:val="9"/>
              </w:numPr>
              <w:spacing w:after="113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dle zákona o obchodních korporacích </w:t>
            </w:r>
          </w:p>
          <w:p w:rsidR="00572A9E" w:rsidRDefault="00D916A5">
            <w:pPr>
              <w:numPr>
                <w:ilvl w:val="0"/>
                <w:numId w:val="9"/>
              </w:numPr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dnem výmazu z OR </w:t>
            </w:r>
          </w:p>
        </w:tc>
      </w:tr>
    </w:tbl>
    <w:p w:rsidR="00572A9E" w:rsidRDefault="00D916A5">
      <w:pPr>
        <w:spacing w:after="38"/>
        <w:ind w:left="3578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572A9E" w:rsidRDefault="00D916A5">
      <w:pPr>
        <w:spacing w:after="0"/>
        <w:ind w:left="3578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572A9E" w:rsidRDefault="00D916A5">
      <w:pPr>
        <w:pStyle w:val="Nadpis1"/>
        <w:ind w:left="107"/>
      </w:pPr>
      <w:r>
        <w:lastRenderedPageBreak/>
        <w:t xml:space="preserve">Akciová společnost </w:t>
      </w:r>
    </w:p>
    <w:tbl>
      <w:tblPr>
        <w:tblStyle w:val="TableGrid"/>
        <w:tblW w:w="13288" w:type="dxa"/>
        <w:tblInd w:w="0" w:type="dxa"/>
        <w:tblLook w:val="04A0" w:firstRow="1" w:lastRow="0" w:firstColumn="1" w:lastColumn="0" w:noHBand="0" w:noVBand="1"/>
      </w:tblPr>
      <w:tblGrid>
        <w:gridCol w:w="3290"/>
        <w:gridCol w:w="9998"/>
      </w:tblGrid>
      <w:tr w:rsidR="00572A9E">
        <w:trPr>
          <w:trHeight w:val="7225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charakteristika </w:t>
            </w:r>
          </w:p>
          <w:p w:rsidR="00572A9E" w:rsidRDefault="00D916A5">
            <w:pPr>
              <w:spacing w:after="179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založení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line="279" w:lineRule="auto"/>
              <w:ind w:right="3190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 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39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pPr>
              <w:spacing w:after="120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vznik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základní kapitál </w:t>
            </w:r>
          </w:p>
          <w:p w:rsidR="00572A9E" w:rsidRDefault="00D916A5">
            <w:pPr>
              <w:spacing w:after="61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vklad společníků </w:t>
            </w:r>
          </w:p>
        </w:tc>
        <w:tc>
          <w:tcPr>
            <w:tcW w:w="9997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numPr>
                <w:ilvl w:val="0"/>
                <w:numId w:val="10"/>
              </w:numPr>
              <w:spacing w:after="86" w:line="297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je společnost, jejíž základní kapitál je rozvržen na určitý počet akcií o určité jmenovité hodnotě </w:t>
            </w:r>
          </w:p>
          <w:p w:rsidR="00572A9E" w:rsidRDefault="00D916A5">
            <w:pPr>
              <w:numPr>
                <w:ilvl w:val="0"/>
                <w:numId w:val="10"/>
              </w:numPr>
              <w:spacing w:after="87" w:line="296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zakládá se společenskou smlouvou, vyžaduje formu veřejné listiny </w:t>
            </w:r>
          </w:p>
          <w:p w:rsidR="00572A9E" w:rsidRDefault="00D916A5">
            <w:pPr>
              <w:numPr>
                <w:ilvl w:val="0"/>
                <w:numId w:val="10"/>
              </w:numPr>
              <w:spacing w:after="166" w:line="251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při založení jediným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40"/>
              </w:rPr>
              <w:t>zakladatelem  se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zakládá zakladatelskou listinou pořízenou ve formě veřejné listiny </w:t>
            </w:r>
          </w:p>
          <w:p w:rsidR="00572A9E" w:rsidRDefault="00D916A5">
            <w:pPr>
              <w:numPr>
                <w:ilvl w:val="0"/>
                <w:numId w:val="10"/>
              </w:numPr>
              <w:spacing w:after="170" w:line="251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k založení společnosti se vyžaduje přijetí stanov - ten, kdo přijal stanovy a podílí se na úpisu akcií, je zakladatel </w:t>
            </w:r>
          </w:p>
          <w:p w:rsidR="00572A9E" w:rsidRDefault="00D916A5">
            <w:pPr>
              <w:numPr>
                <w:ilvl w:val="0"/>
                <w:numId w:val="10"/>
              </w:numPr>
              <w:spacing w:after="193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zápisem do OR </w:t>
            </w:r>
          </w:p>
          <w:p w:rsidR="00572A9E" w:rsidRDefault="00D916A5">
            <w:pPr>
              <w:numPr>
                <w:ilvl w:val="0"/>
                <w:numId w:val="10"/>
              </w:numPr>
              <w:spacing w:after="74" w:line="254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výše základního kapitálu je alespoň 2 000 000 Kč, nebo 80 000 euro </w:t>
            </w:r>
          </w:p>
          <w:p w:rsidR="00572A9E" w:rsidRDefault="00D916A5">
            <w:pPr>
              <w:numPr>
                <w:ilvl w:val="0"/>
                <w:numId w:val="10"/>
              </w:numPr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jmenovitá hodnota akcie není stanovena, ale vklad je </w:t>
            </w:r>
          </w:p>
        </w:tc>
      </w:tr>
    </w:tbl>
    <w:p w:rsidR="00572A9E" w:rsidRDefault="00D916A5">
      <w:pPr>
        <w:spacing w:after="12" w:line="267" w:lineRule="auto"/>
        <w:ind w:left="3588" w:hanging="10"/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 xml:space="preserve">povinný </w:t>
      </w:r>
    </w:p>
    <w:p w:rsidR="00572A9E" w:rsidRDefault="00D916A5">
      <w:pPr>
        <w:tabs>
          <w:tab w:val="center" w:pos="6277"/>
        </w:tabs>
        <w:spacing w:after="65" w:line="267" w:lineRule="auto"/>
        <w:ind w:left="-15"/>
      </w:pPr>
      <w:r>
        <w:rPr>
          <w:rFonts w:ascii="Times New Roman" w:eastAsia="Times New Roman" w:hAnsi="Times New Roman" w:cs="Times New Roman"/>
          <w:b/>
          <w:i/>
          <w:sz w:val="40"/>
        </w:rPr>
        <w:t xml:space="preserve">orgány společnosti </w:t>
      </w:r>
      <w:r>
        <w:rPr>
          <w:rFonts w:ascii="Times New Roman" w:eastAsia="Times New Roman" w:hAnsi="Times New Roman" w:cs="Times New Roman"/>
          <w:b/>
          <w:i/>
          <w:sz w:val="40"/>
        </w:rPr>
        <w:tab/>
      </w:r>
      <w:r>
        <w:rPr>
          <w:rFonts w:ascii="Times New Roman" w:eastAsia="Times New Roman" w:hAnsi="Times New Roman" w:cs="Times New Roman"/>
          <w:b/>
          <w:sz w:val="40"/>
        </w:rPr>
        <w:t xml:space="preserve">valná hromada (nejvyšší orgán)  </w:t>
      </w:r>
    </w:p>
    <w:p w:rsidR="00572A9E" w:rsidRDefault="00D916A5">
      <w:pPr>
        <w:spacing w:after="158" w:line="267" w:lineRule="auto"/>
        <w:ind w:left="-5" w:right="3480" w:hanging="10"/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představenstvo (statutární orgán) </w:t>
      </w:r>
      <w:r>
        <w:rPr>
          <w:rFonts w:ascii="Times New Roman" w:eastAsia="Times New Roman" w:hAnsi="Times New Roman" w:cs="Times New Roman"/>
          <w:b/>
          <w:i/>
          <w:sz w:val="6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dozorčí rada (kontrolní orgán) </w:t>
      </w:r>
    </w:p>
    <w:p w:rsidR="00572A9E" w:rsidRDefault="00D916A5">
      <w:pPr>
        <w:spacing w:after="208" w:line="267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ručení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  <w:u w:val="single" w:color="000000"/>
        </w:rPr>
        <w:t>společnost</w:t>
      </w:r>
      <w:r>
        <w:rPr>
          <w:rFonts w:ascii="Times New Roman" w:eastAsia="Times New Roman" w:hAnsi="Times New Roman" w:cs="Times New Roman"/>
          <w:b/>
          <w:sz w:val="40"/>
        </w:rPr>
        <w:t xml:space="preserve"> odpovídá celým svým majetkem za své 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b/>
          <w:sz w:val="40"/>
        </w:rPr>
        <w:t>závazky,</w:t>
      </w:r>
      <w:r>
        <w:rPr>
          <w:rFonts w:ascii="Times New Roman" w:eastAsia="Times New Roman" w:hAnsi="Times New Roman" w:cs="Times New Roman"/>
          <w:b/>
          <w:sz w:val="40"/>
          <w:u w:val="single" w:color="000000"/>
        </w:rPr>
        <w:t xml:space="preserve"> akcionáři</w:t>
      </w:r>
      <w:r>
        <w:rPr>
          <w:rFonts w:ascii="Times New Roman" w:eastAsia="Times New Roman" w:hAnsi="Times New Roman" w:cs="Times New Roman"/>
          <w:b/>
          <w:sz w:val="40"/>
        </w:rPr>
        <w:t xml:space="preserve"> neručí za závazky společnosti </w:t>
      </w:r>
    </w:p>
    <w:p w:rsidR="00572A9E" w:rsidRDefault="00D916A5">
      <w:pPr>
        <w:spacing w:after="378" w:line="267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účast na zisku </w:t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zisk se dělí mezi akcionáře podle hodnoty akcií, </w:t>
      </w:r>
      <w:proofErr w:type="gramStart"/>
      <w:r>
        <w:rPr>
          <w:rFonts w:ascii="Times New Roman" w:eastAsia="Times New Roman" w:hAnsi="Times New Roman" w:cs="Times New Roman"/>
          <w:b/>
          <w:sz w:val="40"/>
        </w:rPr>
        <w:t xml:space="preserve">které 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>vlastní</w:t>
      </w:r>
      <w:proofErr w:type="gramEnd"/>
      <w:r>
        <w:rPr>
          <w:rFonts w:ascii="Times New Roman" w:eastAsia="Times New Roman" w:hAnsi="Times New Roman" w:cs="Times New Roman"/>
          <w:b/>
          <w:sz w:val="40"/>
        </w:rPr>
        <w:t xml:space="preserve"> (dividendy)</w:t>
      </w:r>
      <w:r>
        <w:rPr>
          <w:b/>
          <w:sz w:val="40"/>
        </w:rPr>
        <w:t xml:space="preserve">  </w:t>
      </w:r>
      <w:r>
        <w:rPr>
          <w:rFonts w:ascii="Times New Roman" w:eastAsia="Times New Roman" w:hAnsi="Times New Roman" w:cs="Times New Roman"/>
          <w:b/>
          <w:sz w:val="40"/>
        </w:rPr>
        <w:t xml:space="preserve">  </w:t>
      </w:r>
    </w:p>
    <w:p w:rsidR="00572A9E" w:rsidRDefault="00D916A5">
      <w:pPr>
        <w:spacing w:after="72" w:line="267" w:lineRule="auto"/>
        <w:ind w:left="-5" w:right="1965" w:hanging="10"/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zrušení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dle zákona o obchodních korporacích 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zánik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dnem výmazu z OR </w:t>
      </w:r>
    </w:p>
    <w:p w:rsidR="00572A9E" w:rsidRDefault="00D916A5">
      <w:pPr>
        <w:pStyle w:val="Nadpis1"/>
        <w:ind w:left="107"/>
      </w:pPr>
      <w:r>
        <w:lastRenderedPageBreak/>
        <w:t xml:space="preserve">Družstvo </w:t>
      </w:r>
    </w:p>
    <w:tbl>
      <w:tblPr>
        <w:tblStyle w:val="TableGrid"/>
        <w:tblW w:w="13394" w:type="dxa"/>
        <w:tblInd w:w="0" w:type="dxa"/>
        <w:tblLook w:val="04A0" w:firstRow="1" w:lastRow="0" w:firstColumn="1" w:lastColumn="0" w:noHBand="0" w:noVBand="1"/>
      </w:tblPr>
      <w:tblGrid>
        <w:gridCol w:w="3063"/>
        <w:gridCol w:w="10331"/>
      </w:tblGrid>
      <w:tr w:rsidR="00572A9E">
        <w:trPr>
          <w:trHeight w:val="614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charakteristika </w:t>
            </w:r>
          </w:p>
          <w:p w:rsidR="00572A9E" w:rsidRDefault="00D916A5">
            <w:pPr>
              <w:spacing w:after="140" w:line="248" w:lineRule="auto"/>
              <w:ind w:right="2963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 </w:t>
            </w:r>
          </w:p>
          <w:p w:rsidR="00572A9E" w:rsidRDefault="00D916A5">
            <w:pPr>
              <w:spacing w:after="38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založení </w:t>
            </w:r>
          </w:p>
          <w:p w:rsidR="00572A9E" w:rsidRDefault="00D916A5">
            <w:pPr>
              <w:spacing w:line="279" w:lineRule="auto"/>
              <w:ind w:right="2963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  </w:t>
            </w:r>
          </w:p>
          <w:p w:rsidR="00572A9E" w:rsidRDefault="00D916A5">
            <w:pPr>
              <w:spacing w:after="121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vznik </w:t>
            </w:r>
          </w:p>
          <w:p w:rsidR="00572A9E" w:rsidRDefault="00D916A5">
            <w:pPr>
              <w:spacing w:after="121"/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základní kapitál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členský vklad </w:t>
            </w:r>
          </w:p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 xml:space="preserve"> </w:t>
            </w:r>
          </w:p>
        </w:tc>
        <w:tc>
          <w:tcPr>
            <w:tcW w:w="10331" w:type="dxa"/>
            <w:tcBorders>
              <w:top w:val="nil"/>
              <w:left w:val="nil"/>
              <w:bottom w:val="nil"/>
              <w:right w:val="nil"/>
            </w:tcBorders>
          </w:tcPr>
          <w:p w:rsidR="00572A9E" w:rsidRDefault="00D916A5">
            <w:pPr>
              <w:numPr>
                <w:ilvl w:val="0"/>
                <w:numId w:val="11"/>
              </w:numPr>
              <w:spacing w:after="151" w:line="263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družstvo je společenství neuzavřeného počtu osob, které je založeno za účelem vzájemné podpory svých členů nebo třetích osob, případně za účelem podnikání, má nejméně 3 členy </w:t>
            </w:r>
          </w:p>
          <w:p w:rsidR="00572A9E" w:rsidRDefault="00D916A5">
            <w:pPr>
              <w:numPr>
                <w:ilvl w:val="0"/>
                <w:numId w:val="11"/>
              </w:numPr>
              <w:spacing w:after="165" w:line="264" w:lineRule="auto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společenskou smlouvou, která se uzavírá přijetím ustavující schůze, přijetím stanov, zvolením členů orgánů družstva a schválením způsobu splnění základního členského vkladu </w:t>
            </w:r>
          </w:p>
          <w:p w:rsidR="00572A9E" w:rsidRDefault="00D916A5">
            <w:pPr>
              <w:numPr>
                <w:ilvl w:val="0"/>
                <w:numId w:val="11"/>
              </w:numPr>
              <w:spacing w:after="190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zápisem do OR 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ab/>
              <w:t xml:space="preserve"> </w:t>
            </w:r>
          </w:p>
          <w:p w:rsidR="00572A9E" w:rsidRDefault="00D916A5">
            <w:pPr>
              <w:numPr>
                <w:ilvl w:val="0"/>
                <w:numId w:val="11"/>
              </w:numPr>
              <w:spacing w:after="133"/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tvořen členskými vklady </w:t>
            </w:r>
          </w:p>
          <w:p w:rsidR="00572A9E" w:rsidRDefault="00D916A5">
            <w:pPr>
              <w:numPr>
                <w:ilvl w:val="0"/>
                <w:numId w:val="11"/>
              </w:numPr>
              <w:ind w:hanging="288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výši určují stanovy – jeho splacení je podmínkou členství a je pro všechny členy stejný </w:t>
            </w:r>
          </w:p>
        </w:tc>
      </w:tr>
      <w:tr w:rsidR="00572A9E">
        <w:trPr>
          <w:trHeight w:val="587"/>
        </w:trPr>
        <w:tc>
          <w:tcPr>
            <w:tcW w:w="13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A9E" w:rsidRDefault="00D916A5">
            <w:r>
              <w:rPr>
                <w:rFonts w:ascii="Times New Roman" w:eastAsia="Times New Roman" w:hAnsi="Times New Roman" w:cs="Times New Roman"/>
                <w:b/>
                <w:i/>
                <w:sz w:val="40"/>
              </w:rPr>
              <w:t>orgány druž</w:t>
            </w:r>
            <w:r>
              <w:rPr>
                <w:rFonts w:ascii="Times New Roman" w:eastAsia="Times New Roman" w:hAnsi="Times New Roman" w:cs="Times New Roman"/>
                <w:b/>
                <w:i/>
                <w:sz w:val="44"/>
              </w:rPr>
              <w:t xml:space="preserve">stva 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členská schůze (nejvyšší orgán)  </w:t>
            </w:r>
          </w:p>
        </w:tc>
      </w:tr>
    </w:tbl>
    <w:p w:rsidR="00572A9E" w:rsidRDefault="00D916A5">
      <w:pPr>
        <w:numPr>
          <w:ilvl w:val="0"/>
          <w:numId w:val="2"/>
        </w:numPr>
        <w:spacing w:after="47" w:line="267" w:lineRule="auto"/>
        <w:ind w:right="393" w:hanging="288"/>
      </w:pPr>
      <w:r>
        <w:rPr>
          <w:rFonts w:ascii="Times New Roman" w:eastAsia="Times New Roman" w:hAnsi="Times New Roman" w:cs="Times New Roman"/>
          <w:b/>
          <w:sz w:val="40"/>
        </w:rPr>
        <w:t xml:space="preserve">představenstvo (statut. </w:t>
      </w:r>
      <w:proofErr w:type="gramStart"/>
      <w:r>
        <w:rPr>
          <w:rFonts w:ascii="Times New Roman" w:eastAsia="Times New Roman" w:hAnsi="Times New Roman" w:cs="Times New Roman"/>
          <w:b/>
          <w:sz w:val="40"/>
        </w:rPr>
        <w:t>orgán</w:t>
      </w:r>
      <w:proofErr w:type="gramEnd"/>
      <w:r>
        <w:rPr>
          <w:rFonts w:ascii="Times New Roman" w:eastAsia="Times New Roman" w:hAnsi="Times New Roman" w:cs="Times New Roman"/>
          <w:b/>
          <w:sz w:val="40"/>
        </w:rPr>
        <w:t xml:space="preserve">) – řídí činnost družstva </w:t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kontrolní komise </w:t>
      </w:r>
    </w:p>
    <w:p w:rsidR="00572A9E" w:rsidRDefault="00D916A5">
      <w:pPr>
        <w:numPr>
          <w:ilvl w:val="0"/>
          <w:numId w:val="2"/>
        </w:numPr>
        <w:spacing w:after="12" w:line="267" w:lineRule="auto"/>
        <w:ind w:right="393" w:hanging="288"/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 xml:space="preserve">další orgány podle stanov </w:t>
      </w:r>
    </w:p>
    <w:p w:rsidR="00572A9E" w:rsidRDefault="00D916A5">
      <w:pPr>
        <w:spacing w:after="0"/>
        <w:ind w:left="3351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572A9E" w:rsidRDefault="00572A9E">
      <w:pPr>
        <w:sectPr w:rsidR="00572A9E">
          <w:headerReference w:type="even" r:id="rId10"/>
          <w:headerReference w:type="default" r:id="rId11"/>
          <w:headerReference w:type="first" r:id="rId12"/>
          <w:pgSz w:w="14400" w:h="10800" w:orient="landscape"/>
          <w:pgMar w:top="637" w:right="949" w:bottom="640" w:left="427" w:header="708" w:footer="708" w:gutter="0"/>
          <w:cols w:space="708"/>
        </w:sectPr>
      </w:pPr>
    </w:p>
    <w:p w:rsidR="00572A9E" w:rsidRDefault="00D916A5">
      <w:pPr>
        <w:spacing w:after="388" w:line="33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44"/>
        </w:rPr>
        <w:lastRenderedPageBreak/>
        <w:t xml:space="preserve">ručení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členové družstva neručí za závazky společnosti, určí-li tak 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b/>
          <w:sz w:val="40"/>
        </w:rPr>
        <w:t xml:space="preserve">stanovy, může členská schůze uložit členům povinnost 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b/>
          <w:sz w:val="40"/>
        </w:rPr>
        <w:t xml:space="preserve">přispět na úhradu ztráty družstva </w:t>
      </w:r>
    </w:p>
    <w:p w:rsidR="00572A9E" w:rsidRDefault="00D916A5">
      <w:pPr>
        <w:spacing w:after="12" w:line="267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podíl na zisku </w:t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určí se v poměru splněné vkladové povinnosti k členskému </w:t>
      </w:r>
    </w:p>
    <w:p w:rsidR="00572A9E" w:rsidRDefault="00D916A5">
      <w:pPr>
        <w:tabs>
          <w:tab w:val="center" w:pos="7787"/>
        </w:tabs>
        <w:spacing w:after="12" w:line="267" w:lineRule="auto"/>
        <w:ind w:left="-15"/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b/>
          <w:sz w:val="40"/>
        </w:rPr>
        <w:t xml:space="preserve">vkladu ke splacenému základnímu kapitálu družstva, </w:t>
      </w:r>
    </w:p>
    <w:p w:rsidR="00572A9E" w:rsidRDefault="00D916A5">
      <w:pPr>
        <w:spacing w:after="179" w:line="267" w:lineRule="auto"/>
        <w:ind w:left="3246" w:hanging="10"/>
      </w:pPr>
      <w:r>
        <w:rPr>
          <w:rFonts w:ascii="Times New Roman" w:eastAsia="Times New Roman" w:hAnsi="Times New Roman" w:cs="Times New Roman"/>
          <w:b/>
          <w:sz w:val="40"/>
        </w:rPr>
        <w:t xml:space="preserve">neurčí-li stanovy jinak </w:t>
      </w:r>
    </w:p>
    <w:p w:rsidR="00572A9E" w:rsidRDefault="00D916A5">
      <w:pPr>
        <w:spacing w:after="12" w:line="386" w:lineRule="auto"/>
        <w:ind w:left="-5" w:right="2486" w:hanging="10"/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zrušení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dle zákona o obchodních korporacích 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zánik </w:t>
      </w:r>
      <w:r>
        <w:rPr>
          <w:rFonts w:ascii="Times New Roman" w:eastAsia="Times New Roman" w:hAnsi="Times New Roman" w:cs="Times New Roman"/>
          <w:b/>
          <w:i/>
          <w:sz w:val="44"/>
        </w:rPr>
        <w:tab/>
      </w:r>
      <w:r>
        <w:rPr>
          <w:rFonts w:ascii="Times New Roman" w:eastAsia="Times New Roman" w:hAnsi="Times New Roman" w:cs="Times New Roman"/>
          <w:sz w:val="40"/>
        </w:rPr>
        <w:t xml:space="preserve">- </w:t>
      </w:r>
      <w:r>
        <w:rPr>
          <w:rFonts w:ascii="Times New Roman" w:eastAsia="Times New Roman" w:hAnsi="Times New Roman" w:cs="Times New Roman"/>
          <w:b/>
          <w:sz w:val="40"/>
        </w:rPr>
        <w:t xml:space="preserve">dnem výmazu z OR </w:t>
      </w:r>
    </w:p>
    <w:p w:rsidR="00572A9E" w:rsidRDefault="00D916A5">
      <w:pPr>
        <w:spacing w:after="713"/>
        <w:ind w:left="437"/>
      </w:pPr>
      <w:r>
        <w:rPr>
          <w:rFonts w:ascii="Times New Roman" w:eastAsia="Times New Roman" w:hAnsi="Times New Roman" w:cs="Times New Roman"/>
          <w:color w:val="006666"/>
          <w:sz w:val="56"/>
        </w:rPr>
        <w:t>Kontrolní otázky a úkoly</w:t>
      </w:r>
      <w:r>
        <w:rPr>
          <w:sz w:val="56"/>
        </w:rPr>
        <w:t xml:space="preserve"> </w:t>
      </w:r>
    </w:p>
    <w:p w:rsidR="00572A9E" w:rsidRDefault="00D916A5">
      <w:pPr>
        <w:numPr>
          <w:ilvl w:val="0"/>
          <w:numId w:val="3"/>
        </w:numPr>
        <w:spacing w:after="171" w:line="283" w:lineRule="auto"/>
        <w:ind w:hanging="812"/>
      </w:pPr>
      <w:r>
        <w:rPr>
          <w:rFonts w:ascii="Times New Roman" w:eastAsia="Times New Roman" w:hAnsi="Times New Roman" w:cs="Times New Roman"/>
          <w:sz w:val="56"/>
        </w:rPr>
        <w:t xml:space="preserve">Vysvětlete pojem obchodní korporace. </w:t>
      </w:r>
    </w:p>
    <w:p w:rsidR="00572A9E" w:rsidRDefault="00D916A5">
      <w:pPr>
        <w:numPr>
          <w:ilvl w:val="0"/>
          <w:numId w:val="3"/>
        </w:numPr>
        <w:spacing w:after="144" w:line="283" w:lineRule="auto"/>
        <w:ind w:hanging="812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Uveďte dva příklady společnosti s ručením omezeným – doložte „výpisem“ z obchodního rejstříku. </w:t>
      </w:r>
    </w:p>
    <w:p w:rsidR="00572A9E" w:rsidRDefault="00D916A5">
      <w:pPr>
        <w:numPr>
          <w:ilvl w:val="0"/>
          <w:numId w:val="3"/>
        </w:numPr>
        <w:spacing w:after="36" w:line="283" w:lineRule="auto"/>
        <w:ind w:hanging="812"/>
      </w:pPr>
      <w:r>
        <w:rPr>
          <w:rFonts w:ascii="Times New Roman" w:eastAsia="Times New Roman" w:hAnsi="Times New Roman" w:cs="Times New Roman"/>
          <w:sz w:val="56"/>
        </w:rPr>
        <w:t xml:space="preserve">Uveďte dva příklady akciové společnosti – doložte „výpisem“ z obchodního rejstříku. </w:t>
      </w:r>
    </w:p>
    <w:p w:rsidR="00572A9E" w:rsidRDefault="00D916A5">
      <w:pPr>
        <w:spacing w:after="107"/>
        <w:ind w:left="437"/>
      </w:pPr>
      <w:r>
        <w:rPr>
          <w:rFonts w:ascii="Times New Roman" w:eastAsia="Times New Roman" w:hAnsi="Times New Roman" w:cs="Times New Roman"/>
          <w:sz w:val="56"/>
        </w:rPr>
        <w:t xml:space="preserve"> </w:t>
      </w:r>
    </w:p>
    <w:p w:rsidR="00572A9E" w:rsidRDefault="00D916A5">
      <w:pPr>
        <w:spacing w:after="2054"/>
        <w:ind w:left="1249"/>
      </w:pPr>
      <w:r>
        <w:rPr>
          <w:rFonts w:ascii="Times New Roman" w:eastAsia="Times New Roman" w:hAnsi="Times New Roman" w:cs="Times New Roman"/>
          <w:sz w:val="56"/>
        </w:rPr>
        <w:t xml:space="preserve"> </w:t>
      </w:r>
    </w:p>
    <w:p w:rsidR="00572A9E" w:rsidRDefault="00D916A5">
      <w:pPr>
        <w:spacing w:after="1027"/>
        <w:ind w:left="10" w:right="81" w:hanging="10"/>
        <w:jc w:val="right"/>
      </w:pPr>
      <w:r>
        <w:rPr>
          <w:color w:val="898989"/>
          <w:sz w:val="24"/>
        </w:rPr>
        <w:t xml:space="preserve">14 </w:t>
      </w:r>
    </w:p>
    <w:p w:rsidR="00572A9E" w:rsidRDefault="00D916A5">
      <w:pPr>
        <w:spacing w:after="446" w:line="283" w:lineRule="auto"/>
        <w:ind w:left="437"/>
      </w:pPr>
      <w:r>
        <w:rPr>
          <w:rFonts w:ascii="Times New Roman" w:eastAsia="Times New Roman" w:hAnsi="Times New Roman" w:cs="Times New Roman"/>
          <w:sz w:val="56"/>
        </w:rPr>
        <w:t xml:space="preserve">Literatura </w:t>
      </w:r>
    </w:p>
    <w:p w:rsidR="00572A9E" w:rsidRDefault="00D916A5">
      <w:pPr>
        <w:numPr>
          <w:ilvl w:val="0"/>
          <w:numId w:val="4"/>
        </w:numPr>
        <w:spacing w:after="24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HERČÍKOVÁ, J.; ŠAMŠOVÁ, L. </w:t>
      </w:r>
      <w:r>
        <w:rPr>
          <w:rFonts w:ascii="Times New Roman" w:eastAsia="Times New Roman" w:hAnsi="Times New Roman" w:cs="Times New Roman"/>
          <w:i/>
          <w:sz w:val="56"/>
        </w:rPr>
        <w:t xml:space="preserve">Základy </w:t>
      </w:r>
    </w:p>
    <w:p w:rsidR="00572A9E" w:rsidRDefault="00D916A5">
      <w:pPr>
        <w:spacing w:after="243" w:line="249" w:lineRule="auto"/>
        <w:ind w:left="977"/>
      </w:pPr>
      <w:r>
        <w:rPr>
          <w:rFonts w:ascii="Times New Roman" w:eastAsia="Times New Roman" w:hAnsi="Times New Roman" w:cs="Times New Roman"/>
          <w:i/>
          <w:sz w:val="56"/>
        </w:rPr>
        <w:t xml:space="preserve">ekonomiky pro střední a vyšší hotelové školy. </w:t>
      </w:r>
      <w:proofErr w:type="gramStart"/>
      <w:r>
        <w:rPr>
          <w:rFonts w:ascii="Times New Roman" w:eastAsia="Times New Roman" w:hAnsi="Times New Roman" w:cs="Times New Roman"/>
          <w:sz w:val="56"/>
        </w:rPr>
        <w:t>Praha : Fortuna</w:t>
      </w:r>
      <w:proofErr w:type="gramEnd"/>
      <w:r>
        <w:rPr>
          <w:rFonts w:ascii="Times New Roman" w:eastAsia="Times New Roman" w:hAnsi="Times New Roman" w:cs="Times New Roman"/>
          <w:sz w:val="56"/>
        </w:rPr>
        <w:t xml:space="preserve">, 2009.  ISBN 80-7168-827-4 </w:t>
      </w:r>
    </w:p>
    <w:p w:rsidR="00572A9E" w:rsidRDefault="00D916A5">
      <w:pPr>
        <w:numPr>
          <w:ilvl w:val="0"/>
          <w:numId w:val="4"/>
        </w:numPr>
        <w:spacing w:after="49" w:line="283" w:lineRule="auto"/>
        <w:ind w:hanging="540"/>
      </w:pPr>
      <w:r>
        <w:rPr>
          <w:rFonts w:ascii="Times New Roman" w:eastAsia="Times New Roman" w:hAnsi="Times New Roman" w:cs="Times New Roman"/>
          <w:sz w:val="56"/>
        </w:rPr>
        <w:t xml:space="preserve">Zákon č. 90/2012 Sb., o obchodních korporacích </w:t>
      </w:r>
    </w:p>
    <w:p w:rsidR="00572A9E" w:rsidRDefault="00D916A5">
      <w:pPr>
        <w:spacing w:after="4433"/>
        <w:ind w:left="977"/>
      </w:pPr>
      <w:r>
        <w:rPr>
          <w:sz w:val="56"/>
        </w:rPr>
        <w:t xml:space="preserve"> </w:t>
      </w:r>
    </w:p>
    <w:p w:rsidR="00572A9E" w:rsidRDefault="00D916A5">
      <w:pPr>
        <w:spacing w:after="1027"/>
        <w:ind w:left="10" w:right="81" w:hanging="10"/>
        <w:jc w:val="right"/>
      </w:pPr>
      <w:r>
        <w:rPr>
          <w:color w:val="898989"/>
          <w:sz w:val="24"/>
        </w:rPr>
        <w:t xml:space="preserve">15 </w:t>
      </w:r>
    </w:p>
    <w:sectPr w:rsidR="00572A9E">
      <w:headerReference w:type="even" r:id="rId13"/>
      <w:headerReference w:type="default" r:id="rId14"/>
      <w:headerReference w:type="first" r:id="rId15"/>
      <w:pgSz w:w="14400" w:h="10800" w:orient="landscape"/>
      <w:pgMar w:top="637" w:right="769" w:bottom="354" w:left="42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1E8" w:rsidRDefault="005141E8">
      <w:pPr>
        <w:spacing w:after="0" w:line="240" w:lineRule="auto"/>
      </w:pPr>
      <w:r>
        <w:separator/>
      </w:r>
    </w:p>
  </w:endnote>
  <w:endnote w:type="continuationSeparator" w:id="0">
    <w:p w:rsidR="005141E8" w:rsidRDefault="0051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1E8" w:rsidRDefault="005141E8">
      <w:pPr>
        <w:spacing w:after="0" w:line="240" w:lineRule="auto"/>
      </w:pPr>
      <w:r>
        <w:separator/>
      </w:r>
    </w:p>
  </w:footnote>
  <w:footnote w:type="continuationSeparator" w:id="0">
    <w:p w:rsidR="005141E8" w:rsidRDefault="00514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572A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572A9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572A9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572A9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D916A5">
    <w:pPr>
      <w:spacing w:after="0"/>
      <w:ind w:left="3290"/>
    </w:pPr>
    <w:r>
      <w:rPr>
        <w:rFonts w:ascii="Times New Roman" w:eastAsia="Times New Roman" w:hAnsi="Times New Roman" w:cs="Times New Roman"/>
        <w:sz w:val="40"/>
      </w:rPr>
      <w:t>-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D916A5">
    <w:pPr>
      <w:spacing w:after="0"/>
      <w:ind w:left="3290"/>
    </w:pPr>
    <w:r>
      <w:rPr>
        <w:rFonts w:ascii="Times New Roman" w:eastAsia="Times New Roman" w:hAnsi="Times New Roman" w:cs="Times New Roman"/>
        <w:sz w:val="40"/>
      </w:rPr>
      <w:t>-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572A9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572A9E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A9E" w:rsidRDefault="00572A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7226"/>
    <w:multiLevelType w:val="hybridMultilevel"/>
    <w:tmpl w:val="E8FC9C96"/>
    <w:lvl w:ilvl="0" w:tplc="B3765180">
      <w:start w:val="1"/>
      <w:numFmt w:val="decimal"/>
      <w:lvlText w:val="%1.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0A2224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27846E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F692D3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039860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895AA8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7EEA3B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89DAE3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DE54F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108C8"/>
    <w:multiLevelType w:val="hybridMultilevel"/>
    <w:tmpl w:val="2F2AB08C"/>
    <w:lvl w:ilvl="0" w:tplc="7944BA9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B706CF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9962C3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62A01D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65FE29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84F88C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A934CF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68D8AE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EFE847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F2271B"/>
    <w:multiLevelType w:val="hybridMultilevel"/>
    <w:tmpl w:val="BFACC050"/>
    <w:lvl w:ilvl="0" w:tplc="4F468C54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143A7D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861C7C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19E40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96462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6848F6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FE872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21C57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752808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5E6372"/>
    <w:multiLevelType w:val="hybridMultilevel"/>
    <w:tmpl w:val="9A2ABAFE"/>
    <w:lvl w:ilvl="0" w:tplc="4EA0EA14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D2061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6D46AC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EB280C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6E236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65FE47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41A001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F75E8F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053059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442E23"/>
    <w:multiLevelType w:val="hybridMultilevel"/>
    <w:tmpl w:val="5A60A8D6"/>
    <w:lvl w:ilvl="0" w:tplc="972A8E46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A9B40C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C27A6D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C9ECDE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33DE2FB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7340CAE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BB4023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67B02D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27203CB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7375B8"/>
    <w:multiLevelType w:val="hybridMultilevel"/>
    <w:tmpl w:val="CC902FF6"/>
    <w:lvl w:ilvl="0" w:tplc="6F0692A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078CF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AA58A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B3400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DEF601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D28CBC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5B28E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3406F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4C215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500EB9"/>
    <w:multiLevelType w:val="hybridMultilevel"/>
    <w:tmpl w:val="E3E46242"/>
    <w:lvl w:ilvl="0" w:tplc="1CF8B4E4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FD402A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A658FC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2968C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A64A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6F162C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540D5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39B64A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3EB88D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B555F6"/>
    <w:multiLevelType w:val="hybridMultilevel"/>
    <w:tmpl w:val="FE862562"/>
    <w:lvl w:ilvl="0" w:tplc="9FC25D1C">
      <w:start w:val="1"/>
      <w:numFmt w:val="bullet"/>
      <w:lvlText w:val="•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6A8AC33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C8C49AC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18C6A4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625A8E5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BF68A16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BA1653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F9F4A2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DC10FDF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D07B14"/>
    <w:multiLevelType w:val="hybridMultilevel"/>
    <w:tmpl w:val="2842E4E6"/>
    <w:lvl w:ilvl="0" w:tplc="CC4ADBBE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BFED7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E3E5F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AE2C8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A647E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8FF074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39E46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F572D7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54BAD3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F26462"/>
    <w:multiLevelType w:val="hybridMultilevel"/>
    <w:tmpl w:val="89BEAB84"/>
    <w:lvl w:ilvl="0" w:tplc="682015DA">
      <w:start w:val="1"/>
      <w:numFmt w:val="bullet"/>
      <w:lvlText w:val="-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A2E615E">
      <w:start w:val="1"/>
      <w:numFmt w:val="bullet"/>
      <w:lvlText w:val="o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6BE1B28">
      <w:start w:val="1"/>
      <w:numFmt w:val="bullet"/>
      <w:lvlText w:val="▪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214EFCAE">
      <w:start w:val="1"/>
      <w:numFmt w:val="bullet"/>
      <w:lvlText w:val="•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45AE9552">
      <w:start w:val="1"/>
      <w:numFmt w:val="bullet"/>
      <w:lvlText w:val="o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DDE09A6E">
      <w:start w:val="1"/>
      <w:numFmt w:val="bullet"/>
      <w:lvlText w:val="▪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F1EEB936">
      <w:start w:val="1"/>
      <w:numFmt w:val="bullet"/>
      <w:lvlText w:val="•"/>
      <w:lvlJc w:val="left"/>
      <w:pPr>
        <w:ind w:left="7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DC2406CC">
      <w:start w:val="1"/>
      <w:numFmt w:val="bullet"/>
      <w:lvlText w:val="o"/>
      <w:lvlJc w:val="left"/>
      <w:pPr>
        <w:ind w:left="8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2E6C4CA">
      <w:start w:val="1"/>
      <w:numFmt w:val="bullet"/>
      <w:lvlText w:val="▪"/>
      <w:lvlJc w:val="left"/>
      <w:pPr>
        <w:ind w:left="9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C8634D"/>
    <w:multiLevelType w:val="hybridMultilevel"/>
    <w:tmpl w:val="97B2083E"/>
    <w:lvl w:ilvl="0" w:tplc="94DEA4B8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70E76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5A4D8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A680D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85C42B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CE4A9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2E143E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C48809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1A86CA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9E"/>
    <w:rsid w:val="005141E8"/>
    <w:rsid w:val="00572A9E"/>
    <w:rsid w:val="009E131E"/>
    <w:rsid w:val="00A87658"/>
    <w:rsid w:val="00CE16E5"/>
    <w:rsid w:val="00D9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A8FE5-7713-4A64-BF22-6AF6C373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33CC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33CC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980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Prezentace aplikace PowerPoint</vt:lpstr>
    </vt:vector>
  </TitlesOfParts>
  <Company>Hewlett-Packard Company</Company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Prezentace aplikace PowerPoint</dc:title>
  <dc:subject/>
  <dc:creator>hsvos</dc:creator>
  <cp:keywords/>
  <cp:lastModifiedBy>Břenda Ladislav Bc.</cp:lastModifiedBy>
  <cp:revision>5</cp:revision>
  <dcterms:created xsi:type="dcterms:W3CDTF">2017-02-20T12:10:00Z</dcterms:created>
  <dcterms:modified xsi:type="dcterms:W3CDTF">2017-02-20T12:15:00Z</dcterms:modified>
</cp:coreProperties>
</file>