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A9" w:rsidRDefault="00A110A9">
      <w:bookmarkStart w:id="0" w:name="_GoBack"/>
      <w:bookmarkEnd w:id="0"/>
      <w:proofErr w:type="gramStart"/>
      <w:r>
        <w:t>1.</w:t>
      </w:r>
      <w:r w:rsidR="004A6CB6">
        <w:t>Čím</w:t>
      </w:r>
      <w:proofErr w:type="gramEnd"/>
      <w:r w:rsidR="004A6CB6">
        <w:t xml:space="preserve"> se zabývá finanční </w:t>
      </w:r>
      <w:r w:rsidR="00B04CE1">
        <w:t>úřad?</w:t>
      </w:r>
    </w:p>
    <w:p w:rsidR="004A6CB6" w:rsidRDefault="00A110A9">
      <w:r>
        <w:t>2.</w:t>
      </w:r>
      <w:r w:rsidR="00B04CE1">
        <w:t xml:space="preserve"> </w:t>
      </w:r>
      <w:r w:rsidR="00DD1E0B">
        <w:t xml:space="preserve">Ve kterých případech </w:t>
      </w:r>
      <w:r w:rsidR="00D24719">
        <w:t>s</w:t>
      </w:r>
      <w:r w:rsidR="00E8252D">
        <w:t xml:space="preserve"> ním </w:t>
      </w:r>
      <w:proofErr w:type="spellStart"/>
      <w:r w:rsidR="00E8252D">
        <w:t>příjdete</w:t>
      </w:r>
      <w:proofErr w:type="spellEnd"/>
      <w:r w:rsidR="00E8252D">
        <w:t xml:space="preserve"> do kontaktu</w:t>
      </w:r>
      <w:r w:rsidR="00CF08D2">
        <w:t xml:space="preserve"> ve svém pracovním a osobním životě?</w:t>
      </w:r>
    </w:p>
    <w:p w:rsidR="0058660B" w:rsidRDefault="0058660B"/>
    <w:p w:rsidR="00463862" w:rsidRPr="008F359A" w:rsidRDefault="00463862" w:rsidP="008F359A">
      <w:pPr>
        <w:pStyle w:val="Odstavecseseznamem"/>
        <w:numPr>
          <w:ilvl w:val="0"/>
          <w:numId w:val="1"/>
        </w:numPr>
      </w:pPr>
      <w:r>
        <w:rPr>
          <w:rFonts w:ascii="Helvetica" w:eastAsia="Times New Roman" w:hAnsi="Helvetica"/>
          <w:b/>
          <w:bCs/>
          <w:color w:val="222222"/>
          <w:bdr w:val="none" w:sz="0" w:space="0" w:color="auto" w:frame="1"/>
          <w:shd w:val="clear" w:color="auto" w:fill="FFFFFF"/>
        </w:rPr>
        <w:t>Finanční úřad</w:t>
      </w:r>
      <w:r>
        <w:rPr>
          <w:rFonts w:ascii="Helvetica" w:eastAsia="Times New Roman" w:hAnsi="Helvetica"/>
          <w:color w:val="222222"/>
          <w:shd w:val="clear" w:color="auto" w:fill="FFFFFF"/>
        </w:rPr>
        <w:t>, daňová agentura, nebo daňový úřad (lidově též finančák, berní úřad je státní instituce zmocněná k získávání daňových a někdy též nedaňových příjmů včetně vybírání daní. V závislosti na jurisdikci mohou finanční služby zahrnovat výběr daně, vyšetřování daňových úniků nebo provádění auditů.</w:t>
      </w:r>
    </w:p>
    <w:p w:rsidR="007C79A7" w:rsidRDefault="007C79A7" w:rsidP="007C79A7">
      <w:pPr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divId w:val="1788156120"/>
        <w:rPr>
          <w:rFonts w:ascii="inherit" w:eastAsia="Times New Roman" w:hAnsi="inherit"/>
          <w:color w:val="222222"/>
          <w:sz w:val="24"/>
          <w:szCs w:val="24"/>
        </w:rPr>
      </w:pPr>
      <w:r>
        <w:rPr>
          <w:rFonts w:ascii="inherit" w:eastAsia="Times New Roman" w:hAnsi="inherit"/>
          <w:color w:val="222222"/>
        </w:rPr>
        <w:t>vykonávají správu daní, odvodů a záloh na tyto příjmy</w:t>
      </w:r>
    </w:p>
    <w:p w:rsidR="007C79A7" w:rsidRDefault="007C79A7" w:rsidP="005A5863">
      <w:pPr>
        <w:shd w:val="clear" w:color="auto" w:fill="FFFFFF"/>
        <w:spacing w:after="150" w:line="240" w:lineRule="auto"/>
        <w:ind w:left="720"/>
        <w:textAlignment w:val="baseline"/>
        <w:divId w:val="1788156120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provádějí řízení o přestupcích v oblasti své působnosti</w:t>
      </w:r>
    </w:p>
    <w:p w:rsidR="007C79A7" w:rsidRDefault="007C79A7" w:rsidP="005A5863">
      <w:pPr>
        <w:shd w:val="clear" w:color="auto" w:fill="FFFFFF"/>
        <w:spacing w:after="150" w:line="240" w:lineRule="auto"/>
        <w:ind w:left="720"/>
        <w:textAlignment w:val="baseline"/>
        <w:divId w:val="1788156120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vybírají poplatky, odvody, úhrady, pokuty a penále</w:t>
      </w:r>
    </w:p>
    <w:p w:rsidR="007C79A7" w:rsidRDefault="007C79A7" w:rsidP="005A5863">
      <w:pPr>
        <w:shd w:val="clear" w:color="auto" w:fill="FFFFFF"/>
        <w:spacing w:after="0" w:line="240" w:lineRule="auto"/>
        <w:ind w:left="720"/>
        <w:textAlignment w:val="baseline"/>
        <w:divId w:val="1788156120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spravují </w:t>
      </w:r>
      <w:hyperlink r:id="rId5" w:tooltip="Dotace" w:history="1">
        <w:r>
          <w:rPr>
            <w:rStyle w:val="Hypertextovodkaz"/>
            <w:rFonts w:ascii="inherit" w:eastAsia="Times New Roman" w:hAnsi="inherit"/>
            <w:color w:val="6B4BA1"/>
            <w:u w:val="none"/>
            <w:bdr w:val="none" w:sz="0" w:space="0" w:color="auto" w:frame="1"/>
          </w:rPr>
          <w:t>dotace</w:t>
        </w:r>
      </w:hyperlink>
    </w:p>
    <w:p w:rsidR="007C79A7" w:rsidRDefault="007C79A7" w:rsidP="005A5863">
      <w:pPr>
        <w:shd w:val="clear" w:color="auto" w:fill="FFFFFF"/>
        <w:spacing w:after="0" w:line="240" w:lineRule="auto"/>
        <w:ind w:left="720"/>
        <w:textAlignment w:val="baseline"/>
        <w:divId w:val="1788156120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ukládají </w:t>
      </w:r>
      <w:hyperlink r:id="rId6" w:tooltip="Pokuta" w:history="1">
        <w:r>
          <w:rPr>
            <w:rStyle w:val="Hypertextovodkaz"/>
            <w:rFonts w:ascii="inherit" w:eastAsia="Times New Roman" w:hAnsi="inherit"/>
            <w:color w:val="6B4BA1"/>
            <w:u w:val="none"/>
            <w:bdr w:val="none" w:sz="0" w:space="0" w:color="auto" w:frame="1"/>
          </w:rPr>
          <w:t>pokuty</w:t>
        </w:r>
      </w:hyperlink>
    </w:p>
    <w:p w:rsidR="007C79A7" w:rsidRDefault="007C79A7" w:rsidP="005A5863">
      <w:pPr>
        <w:shd w:val="clear" w:color="auto" w:fill="FFFFFF"/>
        <w:spacing w:after="150" w:line="240" w:lineRule="auto"/>
        <w:ind w:left="720"/>
        <w:textAlignment w:val="baseline"/>
        <w:divId w:val="1788156120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rozhodují o výši pohledávky na daních a jimi spravovaných příjmech</w:t>
      </w:r>
    </w:p>
    <w:p w:rsidR="007C79A7" w:rsidRDefault="007C79A7" w:rsidP="005A5863">
      <w:pPr>
        <w:shd w:val="clear" w:color="auto" w:fill="FFFFFF"/>
        <w:spacing w:after="100" w:afterAutospacing="1" w:line="240" w:lineRule="auto"/>
        <w:ind w:left="720"/>
        <w:textAlignment w:val="baseline"/>
        <w:divId w:val="1788156120"/>
        <w:rPr>
          <w:rFonts w:ascii="inherit" w:eastAsia="Times New Roman" w:hAnsi="inherit"/>
          <w:color w:val="222222"/>
        </w:rPr>
      </w:pPr>
      <w:r>
        <w:rPr>
          <w:rFonts w:ascii="inherit" w:eastAsia="Times New Roman" w:hAnsi="inherit"/>
          <w:color w:val="222222"/>
        </w:rPr>
        <w:t>na základě pověření Ministerstvem financí finanční úřady poskytují mezinárodní pomoc při správě daní a provádějí vymáhání peněžitých pohledávek</w:t>
      </w:r>
    </w:p>
    <w:p w:rsidR="008F359A" w:rsidRDefault="008F359A" w:rsidP="005A5863">
      <w:pPr>
        <w:pStyle w:val="Odstavecseseznamem"/>
      </w:pPr>
    </w:p>
    <w:sectPr w:rsidR="008F3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D13D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D54F8"/>
    <w:multiLevelType w:val="hybridMultilevel"/>
    <w:tmpl w:val="CEDE9F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B6"/>
    <w:rsid w:val="002831F2"/>
    <w:rsid w:val="00463862"/>
    <w:rsid w:val="004A6CB6"/>
    <w:rsid w:val="0058660B"/>
    <w:rsid w:val="005A5863"/>
    <w:rsid w:val="007C79A7"/>
    <w:rsid w:val="008F359A"/>
    <w:rsid w:val="00A110A9"/>
    <w:rsid w:val="00A906F9"/>
    <w:rsid w:val="00B04CE1"/>
    <w:rsid w:val="00CF08D2"/>
    <w:rsid w:val="00D24719"/>
    <w:rsid w:val="00DD1E0B"/>
    <w:rsid w:val="00E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40E7A-36B8-2F48-8D06-5485E8CC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6F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63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m.wikipedia.org/wiki/Pokuta" TargetMode="External"/><Relationship Id="rId5" Type="http://schemas.openxmlformats.org/officeDocument/2006/relationships/hyperlink" Target="https://cs.m.wikipedia.org/wiki/Dot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PRUZINOVAJ</cp:lastModifiedBy>
  <cp:revision>2</cp:revision>
  <dcterms:created xsi:type="dcterms:W3CDTF">2019-04-24T13:26:00Z</dcterms:created>
  <dcterms:modified xsi:type="dcterms:W3CDTF">2019-04-24T13:26:00Z</dcterms:modified>
</cp:coreProperties>
</file>