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F7" w:rsidRDefault="00255B04" w:rsidP="00EA6E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255B04">
        <w:rPr>
          <w:rFonts w:ascii="Arial" w:eastAsia="Times New Roman" w:hAnsi="Arial" w:cs="Arial"/>
          <w:b/>
          <w:sz w:val="32"/>
          <w:szCs w:val="32"/>
          <w:lang w:eastAsia="cs-CZ"/>
        </w:rPr>
        <w:t>Magický čtyřúhelník</w:t>
      </w:r>
    </w:p>
    <w:p w:rsidR="00EA6EF7" w:rsidRPr="00EA6EF7" w:rsidRDefault="00EA6EF7" w:rsidP="00EA6E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EA6EF7">
        <w:rPr>
          <w:rFonts w:ascii="Arial" w:eastAsia="Times New Roman" w:hAnsi="Arial" w:cs="Arial"/>
          <w:lang w:eastAsia="cs-CZ"/>
        </w:rPr>
        <w:t xml:space="preserve">Při hodnocení národního hospodářství sledujeme tzv. </w:t>
      </w:r>
      <w:r w:rsidRPr="00EA6EF7">
        <w:rPr>
          <w:rFonts w:ascii="Arial" w:eastAsia="Times New Roman" w:hAnsi="Arial" w:cs="Arial"/>
          <w:b/>
          <w:bCs/>
          <w:lang w:eastAsia="cs-CZ"/>
        </w:rPr>
        <w:t xml:space="preserve">magický čtyřúhelník: </w:t>
      </w:r>
    </w:p>
    <w:p w:rsidR="00EA6EF7" w:rsidRPr="00EA6EF7" w:rsidRDefault="00EA6EF7" w:rsidP="00EA6E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EA6EF7">
        <w:rPr>
          <w:rFonts w:ascii="Arial" w:eastAsia="Times New Roman" w:hAnsi="Arial" w:cs="Arial"/>
          <w:i/>
          <w:iCs/>
          <w:lang w:eastAsia="cs-CZ"/>
        </w:rPr>
        <w:t> </w:t>
      </w:r>
      <w:r w:rsidRPr="00EA6EF7">
        <w:rPr>
          <w:rFonts w:ascii="Arial" w:eastAsia="Times New Roman" w:hAnsi="Arial" w:cs="Arial"/>
          <w:i/>
          <w:iCs/>
          <w:noProof/>
          <w:lang w:eastAsia="cs-CZ"/>
        </w:rPr>
        <w:drawing>
          <wp:inline distT="0" distB="0" distL="0" distR="0">
            <wp:extent cx="142875" cy="142875"/>
            <wp:effectExtent l="19050" t="0" r="9525" b="0"/>
            <wp:docPr id="17" name="obrázek 17" descr="http://www.ceed.cz/makroekonomie/img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eed.cz/makroekonomie/img/odraz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EF7">
        <w:rPr>
          <w:rFonts w:ascii="Arial" w:eastAsia="Times New Roman" w:hAnsi="Arial" w:cs="Arial"/>
          <w:i/>
          <w:iCs/>
          <w:lang w:eastAsia="cs-CZ"/>
        </w:rPr>
        <w:t>  velikost a tempo růstu</w:t>
      </w:r>
      <w:r w:rsidRPr="00EA6EF7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  <w:hyperlink r:id="rId6" w:history="1">
        <w:r w:rsidRPr="00EA6EF7">
          <w:rPr>
            <w:rFonts w:ascii="Arial" w:eastAsia="Times New Roman" w:hAnsi="Arial" w:cs="Arial"/>
            <w:b/>
            <w:bCs/>
            <w:i/>
            <w:iCs/>
            <w:color w:val="0000FF"/>
            <w:u w:val="single"/>
            <w:lang w:eastAsia="cs-CZ"/>
          </w:rPr>
          <w:t>celkového produktu</w:t>
        </w:r>
      </w:hyperlink>
      <w:r w:rsidRPr="00EA6EF7">
        <w:rPr>
          <w:rFonts w:ascii="Arial" w:eastAsia="Times New Roman" w:hAnsi="Arial" w:cs="Arial"/>
          <w:b/>
          <w:bCs/>
          <w:i/>
          <w:iCs/>
          <w:lang w:eastAsia="cs-CZ"/>
        </w:rPr>
        <w:tab/>
      </w:r>
      <w:r w:rsidRPr="00EA6EF7">
        <w:rPr>
          <w:rFonts w:ascii="Arial" w:eastAsia="Times New Roman" w:hAnsi="Arial" w:cs="Arial"/>
          <w:b/>
          <w:bCs/>
          <w:i/>
          <w:iCs/>
          <w:lang w:eastAsia="cs-CZ"/>
        </w:rPr>
        <w:tab/>
      </w:r>
      <w:r w:rsidRPr="00EA6EF7">
        <w:rPr>
          <w:rFonts w:ascii="Arial" w:eastAsia="Times New Roman" w:hAnsi="Arial" w:cs="Arial"/>
          <w:b/>
          <w:bCs/>
          <w:i/>
          <w:iCs/>
          <w:lang w:eastAsia="cs-CZ"/>
        </w:rPr>
        <w:tab/>
      </w:r>
      <w:r w:rsidRPr="00EA6EF7">
        <w:rPr>
          <w:rFonts w:ascii="Arial" w:eastAsia="Times New Roman" w:hAnsi="Arial" w:cs="Arial"/>
          <w:b/>
          <w:bCs/>
          <w:i/>
          <w:iCs/>
          <w:lang w:eastAsia="cs-CZ"/>
        </w:rPr>
        <w:tab/>
      </w:r>
      <w:r w:rsidRPr="00EA6EF7">
        <w:rPr>
          <w:rFonts w:ascii="Arial" w:eastAsia="Times New Roman" w:hAnsi="Arial" w:cs="Arial"/>
          <w:b/>
          <w:bCs/>
          <w:i/>
          <w:iCs/>
          <w:noProof/>
          <w:lang w:eastAsia="cs-CZ"/>
        </w:rPr>
        <w:drawing>
          <wp:inline distT="0" distB="0" distL="0" distR="0">
            <wp:extent cx="142875" cy="142875"/>
            <wp:effectExtent l="19050" t="0" r="9525" b="0"/>
            <wp:docPr id="18" name="obrázek 18" descr="http://www.ceed.cz/makroekonomie/img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eed.cz/makroekonomie/img/odraz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EF7">
        <w:rPr>
          <w:rFonts w:ascii="Arial" w:eastAsia="Times New Roman" w:hAnsi="Arial" w:cs="Arial"/>
          <w:b/>
          <w:bCs/>
          <w:i/>
          <w:iCs/>
          <w:lang w:eastAsia="cs-CZ"/>
        </w:rPr>
        <w:t xml:space="preserve">stabilita </w:t>
      </w:r>
      <w:hyperlink r:id="rId7" w:history="1">
        <w:r w:rsidRPr="00EA6EF7">
          <w:rPr>
            <w:rFonts w:ascii="Arial" w:eastAsia="Times New Roman" w:hAnsi="Arial" w:cs="Arial"/>
            <w:b/>
            <w:bCs/>
            <w:i/>
            <w:iCs/>
            <w:color w:val="0000FF"/>
            <w:u w:val="single"/>
            <w:lang w:eastAsia="cs-CZ"/>
          </w:rPr>
          <w:t xml:space="preserve">cen </w:t>
        </w:r>
      </w:hyperlink>
      <w:r w:rsidRPr="00EA6EF7">
        <w:rPr>
          <w:rFonts w:ascii="Arial" w:eastAsia="Times New Roman" w:hAnsi="Arial" w:cs="Arial"/>
          <w:b/>
          <w:bCs/>
          <w:i/>
          <w:iCs/>
          <w:lang w:eastAsia="cs-CZ"/>
        </w:rPr>
        <w:t xml:space="preserve">  </w:t>
      </w:r>
      <w:r w:rsidRPr="00EA6EF7">
        <w:rPr>
          <w:rFonts w:ascii="Arial" w:eastAsia="Times New Roman" w:hAnsi="Arial" w:cs="Arial"/>
          <w:lang w:eastAsia="cs-CZ"/>
        </w:rPr>
        <w:br/>
        <w:t xml:space="preserve">ukazatel: hrubý domácí produkt </w:t>
      </w:r>
      <w:r w:rsidRPr="00EA6EF7">
        <w:rPr>
          <w:rFonts w:ascii="Arial" w:eastAsia="Times New Roman" w:hAnsi="Arial" w:cs="Arial"/>
          <w:b/>
          <w:bCs/>
          <w:lang w:eastAsia="cs-CZ"/>
        </w:rPr>
        <w:t>(</w:t>
      </w:r>
      <w:hyperlink r:id="rId8" w:history="1">
        <w:r w:rsidRPr="00EA6EF7">
          <w:rPr>
            <w:rFonts w:ascii="Arial" w:eastAsia="Times New Roman" w:hAnsi="Arial" w:cs="Arial"/>
            <w:b/>
            <w:bCs/>
            <w:color w:val="0000FF"/>
            <w:u w:val="single"/>
            <w:lang w:eastAsia="cs-CZ"/>
          </w:rPr>
          <w:t>HDP</w:t>
        </w:r>
      </w:hyperlink>
      <w:r w:rsidRPr="00EA6EF7">
        <w:rPr>
          <w:rFonts w:ascii="Arial" w:eastAsia="Times New Roman" w:hAnsi="Arial" w:cs="Arial"/>
          <w:lang w:eastAsia="cs-CZ"/>
        </w:rPr>
        <w:t>)</w:t>
      </w:r>
      <w:r w:rsidRPr="00EA6EF7">
        <w:rPr>
          <w:rFonts w:ascii="Arial" w:eastAsia="Times New Roman" w:hAnsi="Arial" w:cs="Arial"/>
          <w:lang w:eastAsia="cs-CZ"/>
        </w:rPr>
        <w:tab/>
      </w:r>
      <w:r w:rsidRPr="00EA6EF7">
        <w:rPr>
          <w:rFonts w:ascii="Arial" w:eastAsia="Times New Roman" w:hAnsi="Arial" w:cs="Arial"/>
          <w:lang w:eastAsia="cs-CZ"/>
        </w:rPr>
        <w:tab/>
      </w:r>
      <w:r w:rsidRPr="00EA6EF7">
        <w:rPr>
          <w:rFonts w:ascii="Arial" w:eastAsia="Times New Roman" w:hAnsi="Arial" w:cs="Arial"/>
          <w:lang w:eastAsia="cs-CZ"/>
        </w:rPr>
        <w:tab/>
      </w:r>
      <w:r w:rsidRPr="00EA6EF7">
        <w:rPr>
          <w:rFonts w:ascii="Arial" w:eastAsia="Times New Roman" w:hAnsi="Arial" w:cs="Arial"/>
          <w:lang w:eastAsia="cs-CZ"/>
        </w:rPr>
        <w:tab/>
        <w:t xml:space="preserve">ukazatel: </w:t>
      </w:r>
      <w:hyperlink r:id="rId9" w:history="1">
        <w:r w:rsidRPr="00EA6EF7">
          <w:rPr>
            <w:rFonts w:ascii="Arial" w:eastAsia="Times New Roman" w:hAnsi="Arial" w:cs="Arial"/>
            <w:color w:val="0000FF"/>
            <w:u w:val="single"/>
            <w:lang w:eastAsia="cs-CZ"/>
          </w:rPr>
          <w:t xml:space="preserve">míra </w:t>
        </w:r>
        <w:r w:rsidRPr="00EA6EF7">
          <w:rPr>
            <w:rFonts w:ascii="Arial" w:eastAsia="Times New Roman" w:hAnsi="Arial" w:cs="Arial"/>
            <w:b/>
            <w:bCs/>
            <w:color w:val="0000FF"/>
            <w:u w:val="single"/>
            <w:lang w:eastAsia="cs-CZ"/>
          </w:rPr>
          <w:t xml:space="preserve">inflace </w:t>
        </w:r>
      </w:hyperlink>
    </w:p>
    <w:p w:rsidR="00EA6EF7" w:rsidRPr="00EA6EF7" w:rsidRDefault="00EA6EF7" w:rsidP="00EA6E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EA6EF7">
        <w:rPr>
          <w:rFonts w:ascii="Arial" w:eastAsia="Times New Roman" w:hAnsi="Arial" w:cs="Arial"/>
          <w:lang w:eastAsia="cs-CZ"/>
        </w:rPr>
        <w:t>     </w:t>
      </w:r>
      <w:r w:rsidRPr="00EA6EF7">
        <w:rPr>
          <w:rFonts w:ascii="Arial" w:eastAsia="Times New Roman" w:hAnsi="Arial" w:cs="Arial"/>
          <w:noProof/>
          <w:lang w:eastAsia="cs-CZ"/>
        </w:rPr>
        <w:drawing>
          <wp:inline distT="0" distB="0" distL="0" distR="0">
            <wp:extent cx="142875" cy="142875"/>
            <wp:effectExtent l="19050" t="0" r="9525" b="0"/>
            <wp:docPr id="20" name="obrázek 20" descr="http://www.ceed.cz/makroekonomie/img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eed.cz/makroekonomie/img/odraz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EF7">
        <w:rPr>
          <w:rFonts w:ascii="Arial" w:eastAsia="Times New Roman" w:hAnsi="Arial" w:cs="Arial"/>
          <w:lang w:eastAsia="cs-CZ"/>
        </w:rPr>
        <w:t xml:space="preserve">  </w:t>
      </w:r>
      <w:r w:rsidRPr="00EA6EF7">
        <w:rPr>
          <w:rFonts w:ascii="Arial" w:eastAsia="Times New Roman" w:hAnsi="Arial" w:cs="Arial"/>
          <w:i/>
          <w:iCs/>
          <w:lang w:eastAsia="cs-CZ"/>
        </w:rPr>
        <w:t>vyrovnanost</w:t>
      </w:r>
      <w:r w:rsidRPr="00EA6EF7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  <w:hyperlink r:id="rId10" w:history="1">
        <w:r w:rsidRPr="00EA6EF7">
          <w:rPr>
            <w:rFonts w:ascii="Arial" w:eastAsia="Times New Roman" w:hAnsi="Arial" w:cs="Arial"/>
            <w:b/>
            <w:bCs/>
            <w:i/>
            <w:iCs/>
            <w:color w:val="0000FF"/>
            <w:u w:val="single"/>
            <w:lang w:eastAsia="cs-CZ"/>
          </w:rPr>
          <w:t>vývozů a dovozů</w:t>
        </w:r>
        <w:r w:rsidRPr="00EA6EF7">
          <w:rPr>
            <w:rFonts w:ascii="Arial" w:eastAsia="Times New Roman" w:hAnsi="Arial" w:cs="Arial"/>
            <w:b/>
            <w:bCs/>
            <w:i/>
            <w:iCs/>
            <w:color w:val="0000FF"/>
            <w:u w:val="single"/>
            <w:lang w:eastAsia="cs-CZ"/>
          </w:rPr>
          <w:tab/>
        </w:r>
        <w:r w:rsidRPr="00EA6EF7">
          <w:rPr>
            <w:rFonts w:ascii="Arial" w:eastAsia="Times New Roman" w:hAnsi="Arial" w:cs="Arial"/>
            <w:b/>
            <w:bCs/>
            <w:i/>
            <w:iCs/>
            <w:color w:val="0000FF"/>
            <w:u w:val="single"/>
            <w:lang w:eastAsia="cs-CZ"/>
          </w:rPr>
          <w:tab/>
        </w:r>
        <w:r w:rsidRPr="00EA6EF7">
          <w:rPr>
            <w:rFonts w:ascii="Arial" w:eastAsia="Times New Roman" w:hAnsi="Arial" w:cs="Arial"/>
            <w:b/>
            <w:bCs/>
            <w:i/>
            <w:iCs/>
            <w:color w:val="0000FF"/>
            <w:u w:val="single"/>
            <w:lang w:eastAsia="cs-CZ"/>
          </w:rPr>
          <w:tab/>
        </w:r>
        <w:r w:rsidRPr="00EA6EF7">
          <w:rPr>
            <w:rFonts w:ascii="Arial" w:eastAsia="Times New Roman" w:hAnsi="Arial" w:cs="Arial"/>
            <w:b/>
            <w:bCs/>
            <w:i/>
            <w:iCs/>
            <w:color w:val="0000FF"/>
            <w:u w:val="single"/>
            <w:lang w:eastAsia="cs-CZ"/>
          </w:rPr>
          <w:tab/>
        </w:r>
        <w:r w:rsidRPr="00EA6EF7">
          <w:rPr>
            <w:rFonts w:ascii="Arial" w:eastAsia="Times New Roman" w:hAnsi="Arial" w:cs="Arial"/>
            <w:b/>
            <w:bCs/>
            <w:i/>
            <w:iCs/>
            <w:color w:val="0000FF"/>
            <w:u w:val="single"/>
            <w:lang w:eastAsia="cs-CZ"/>
          </w:rPr>
          <w:tab/>
        </w:r>
      </w:hyperlink>
      <w:r w:rsidRPr="00EA6EF7">
        <w:rPr>
          <w:rFonts w:ascii="Arial" w:eastAsia="Times New Roman" w:hAnsi="Arial" w:cs="Arial"/>
          <w:b/>
          <w:bCs/>
          <w:i/>
          <w:iCs/>
          <w:lang w:eastAsia="cs-CZ"/>
        </w:rPr>
        <w:tab/>
      </w:r>
      <w:r w:rsidRPr="00EA6EF7">
        <w:rPr>
          <w:rFonts w:ascii="Arial" w:eastAsia="Times New Roman" w:hAnsi="Arial" w:cs="Arial"/>
          <w:b/>
          <w:bCs/>
          <w:i/>
          <w:iCs/>
          <w:lang w:eastAsia="cs-CZ"/>
        </w:rPr>
        <w:tab/>
      </w:r>
      <w:r w:rsidRPr="00EA6EF7">
        <w:rPr>
          <w:rFonts w:ascii="Arial" w:eastAsia="Times New Roman" w:hAnsi="Arial" w:cs="Arial"/>
          <w:b/>
          <w:bCs/>
          <w:i/>
          <w:iCs/>
          <w:lang w:eastAsia="cs-CZ"/>
        </w:rPr>
        <w:tab/>
      </w:r>
      <w:r w:rsidRPr="00EA6EF7">
        <w:rPr>
          <w:rFonts w:ascii="Arial" w:eastAsia="Times New Roman" w:hAnsi="Arial" w:cs="Arial"/>
          <w:b/>
          <w:bCs/>
          <w:i/>
          <w:iCs/>
          <w:lang w:eastAsia="cs-CZ"/>
        </w:rPr>
        <w:tab/>
      </w:r>
      <w:r w:rsidRPr="00EA6EF7">
        <w:rPr>
          <w:rFonts w:ascii="Arial" w:eastAsia="Times New Roman" w:hAnsi="Arial" w:cs="Arial"/>
          <w:b/>
          <w:bCs/>
          <w:i/>
          <w:iCs/>
          <w:lang w:eastAsia="cs-CZ"/>
        </w:rPr>
        <w:tab/>
      </w:r>
      <w:r w:rsidRPr="00EA6EF7">
        <w:rPr>
          <w:rFonts w:ascii="Arial" w:eastAsia="Times New Roman" w:hAnsi="Arial" w:cs="Arial"/>
          <w:b/>
          <w:bCs/>
          <w:i/>
          <w:iCs/>
          <w:noProof/>
          <w:lang w:eastAsia="cs-CZ"/>
        </w:rPr>
        <w:drawing>
          <wp:inline distT="0" distB="0" distL="0" distR="0">
            <wp:extent cx="142875" cy="142875"/>
            <wp:effectExtent l="19050" t="0" r="9525" b="0"/>
            <wp:docPr id="21" name="obrázek 21" descr="http://www.ceed.cz/makroekonomie/img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ceed.cz/makroekonomie/img/odraz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EF7">
        <w:rPr>
          <w:rFonts w:ascii="Arial" w:eastAsia="Times New Roman" w:hAnsi="Arial" w:cs="Arial"/>
          <w:i/>
          <w:iCs/>
          <w:lang w:eastAsia="cs-CZ"/>
        </w:rPr>
        <w:t>velikost a struktura</w:t>
      </w:r>
      <w:r w:rsidRPr="00EA6EF7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  <w:hyperlink r:id="rId11" w:history="1">
        <w:r w:rsidRPr="00EA6EF7">
          <w:rPr>
            <w:rFonts w:ascii="Arial" w:eastAsia="Times New Roman" w:hAnsi="Arial" w:cs="Arial"/>
            <w:b/>
            <w:bCs/>
            <w:i/>
            <w:iCs/>
            <w:color w:val="0000FF"/>
            <w:u w:val="single"/>
            <w:lang w:eastAsia="cs-CZ"/>
          </w:rPr>
          <w:t xml:space="preserve">nezaměstnanosti </w:t>
        </w:r>
      </w:hyperlink>
      <w:r w:rsidRPr="00EA6EF7">
        <w:rPr>
          <w:rFonts w:ascii="Arial" w:eastAsia="Times New Roman" w:hAnsi="Arial" w:cs="Arial"/>
          <w:b/>
          <w:bCs/>
          <w:i/>
          <w:iCs/>
          <w:lang w:eastAsia="cs-CZ"/>
        </w:rPr>
        <w:t xml:space="preserve">  </w:t>
      </w:r>
      <w:r w:rsidRPr="00EA6EF7">
        <w:rPr>
          <w:rFonts w:ascii="Arial" w:eastAsia="Times New Roman" w:hAnsi="Arial" w:cs="Arial"/>
          <w:lang w:eastAsia="cs-CZ"/>
        </w:rPr>
        <w:br/>
        <w:t xml:space="preserve">ukazatel: </w:t>
      </w:r>
      <w:hyperlink r:id="rId12" w:history="1">
        <w:r w:rsidRPr="00EA6EF7">
          <w:rPr>
            <w:rFonts w:ascii="Arial" w:eastAsia="Times New Roman" w:hAnsi="Arial" w:cs="Arial"/>
            <w:color w:val="0000FF"/>
            <w:u w:val="single"/>
            <w:lang w:eastAsia="cs-CZ"/>
          </w:rPr>
          <w:t>bilance zahraničního obchodu</w:t>
        </w:r>
      </w:hyperlink>
      <w:r w:rsidRPr="00EA6EF7">
        <w:rPr>
          <w:rFonts w:ascii="Arial" w:eastAsia="Times New Roman" w:hAnsi="Arial" w:cs="Arial"/>
          <w:lang w:eastAsia="cs-CZ"/>
        </w:rPr>
        <w:tab/>
      </w:r>
      <w:r w:rsidRPr="00EA6EF7">
        <w:rPr>
          <w:rFonts w:ascii="Arial" w:eastAsia="Times New Roman" w:hAnsi="Arial" w:cs="Arial"/>
          <w:lang w:eastAsia="cs-CZ"/>
        </w:rPr>
        <w:tab/>
      </w:r>
      <w:r w:rsidRPr="00EA6EF7">
        <w:rPr>
          <w:rFonts w:ascii="Arial" w:eastAsia="Times New Roman" w:hAnsi="Arial" w:cs="Arial"/>
          <w:lang w:eastAsia="cs-CZ"/>
        </w:rPr>
        <w:tab/>
      </w:r>
      <w:r w:rsidRPr="00EA6EF7">
        <w:rPr>
          <w:rFonts w:ascii="Arial" w:eastAsia="Times New Roman" w:hAnsi="Arial" w:cs="Arial"/>
          <w:lang w:eastAsia="cs-CZ"/>
        </w:rPr>
        <w:tab/>
        <w:t xml:space="preserve">ukazatel: </w:t>
      </w:r>
      <w:hyperlink r:id="rId13" w:history="1">
        <w:r w:rsidRPr="00EA6EF7">
          <w:rPr>
            <w:rFonts w:ascii="Arial" w:eastAsia="Times New Roman" w:hAnsi="Arial" w:cs="Arial"/>
            <w:color w:val="0000FF"/>
            <w:u w:val="single"/>
            <w:lang w:eastAsia="cs-CZ"/>
          </w:rPr>
          <w:t>míra nezaměstnanosti</w:t>
        </w:r>
      </w:hyperlink>
      <w:r w:rsidRPr="00EA6EF7">
        <w:rPr>
          <w:rFonts w:ascii="Arial" w:eastAsia="Times New Roman" w:hAnsi="Arial" w:cs="Arial"/>
          <w:lang w:eastAsia="cs-CZ"/>
        </w:rPr>
        <w:t xml:space="preserve"> </w:t>
      </w:r>
    </w:p>
    <w:p w:rsidR="00EA6EF7" w:rsidRDefault="00EA6EF7" w:rsidP="00EA6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255B04" w:rsidRPr="00255B04" w:rsidRDefault="00255B04" w:rsidP="00EA6E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255B04">
        <w:rPr>
          <w:rFonts w:ascii="Arial" w:eastAsia="Times New Roman" w:hAnsi="Arial" w:cs="Arial"/>
          <w:lang w:eastAsia="cs-CZ"/>
        </w:rPr>
        <w:t xml:space="preserve">Všechny uvedené makroekonomické veličiny spolu úzce souvisí a vzájemně se ovlivňují (nelze sledovat celkový produkt aniž bychom znali míru inflace, která ukazuje míru znehodnocování </w:t>
      </w:r>
      <w:proofErr w:type="gramStart"/>
      <w:r w:rsidRPr="00255B04">
        <w:rPr>
          <w:rFonts w:ascii="Arial" w:eastAsia="Times New Roman" w:hAnsi="Arial" w:cs="Arial"/>
          <w:lang w:eastAsia="cs-CZ"/>
        </w:rPr>
        <w:t>peněz pomocí</w:t>
      </w:r>
      <w:proofErr w:type="gramEnd"/>
      <w:r w:rsidRPr="00255B04">
        <w:rPr>
          <w:rFonts w:ascii="Arial" w:eastAsia="Times New Roman" w:hAnsi="Arial" w:cs="Arial"/>
          <w:lang w:eastAsia="cs-CZ"/>
        </w:rPr>
        <w:t xml:space="preserve"> kterých HDP měříme, nelze jásat nad růstem HDP pokud víme, že nám rapidně vzrůstá zahraniční zadluženost a nerovnováha obchodní bilance atd.).</w:t>
      </w:r>
    </w:p>
    <w:p w:rsidR="00EA6EF7" w:rsidRPr="00255B04" w:rsidRDefault="00EA6EF7" w:rsidP="00EA6EF7">
      <w:pPr>
        <w:jc w:val="both"/>
        <w:rPr>
          <w:rFonts w:ascii="Arial" w:hAnsi="Arial" w:cs="Arial"/>
        </w:rPr>
      </w:pPr>
      <w:r w:rsidRPr="00255B04">
        <w:rPr>
          <w:rFonts w:ascii="Arial" w:hAnsi="Arial" w:cs="Arial"/>
          <w:u w:val="single"/>
        </w:rPr>
        <w:t>Magický čtyřúhelník:</w:t>
      </w:r>
    </w:p>
    <w:p w:rsidR="00EA6EF7" w:rsidRDefault="00EA6EF7" w:rsidP="00EA6EF7">
      <w:pPr>
        <w:tabs>
          <w:tab w:val="left" w:pos="2070"/>
        </w:tabs>
        <w:jc w:val="both"/>
      </w:pPr>
      <w:r>
        <w:object w:dxaOrig="7195" w:dyaOrig="5390">
          <v:shape id="_x0000_i1025" type="#_x0000_t75" style="width:5in;height:269.25pt">
            <v:imagedata r:id="rId14" o:title=""/>
          </v:shape>
        </w:object>
      </w:r>
      <w:r>
        <w:tab/>
      </w:r>
    </w:p>
    <w:p w:rsidR="00EA6EF7" w:rsidRDefault="00EA6EF7" w:rsidP="00EA6EF7">
      <w:pPr>
        <w:tabs>
          <w:tab w:val="left" w:pos="2070"/>
        </w:tabs>
        <w:jc w:val="both"/>
      </w:pPr>
    </w:p>
    <w:p w:rsidR="00EA6EF7" w:rsidRPr="00255B04" w:rsidRDefault="00EA6EF7" w:rsidP="00EA6EF7">
      <w:pPr>
        <w:tabs>
          <w:tab w:val="left" w:pos="2070"/>
        </w:tabs>
        <w:jc w:val="both"/>
        <w:rPr>
          <w:rFonts w:ascii="Arial" w:hAnsi="Arial" w:cs="Arial"/>
        </w:rPr>
      </w:pPr>
      <w:r w:rsidRPr="00255B04">
        <w:rPr>
          <w:rFonts w:ascii="Arial" w:hAnsi="Arial" w:cs="Arial"/>
        </w:rPr>
        <w:t>Jedná se o 4 samostatné grafy, každá osa má samostatný počátek (vlevo záporná, vpravo kladná čísla). Nejlepší plnění cíle je co nejdále od společného bodu. Čím větší plocha, tím úspěšnější politika.</w:t>
      </w:r>
    </w:p>
    <w:p w:rsidR="006E5626" w:rsidRDefault="00EA6EF7"/>
    <w:sectPr w:rsidR="006E5626" w:rsidSect="00806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www.ceed.cz/makroekonomie/img/odraz.gif" style="width:11.25pt;height:11.25pt;visibility:visible;mso-wrap-style:square" o:bullet="t">
        <v:imagedata r:id="rId1" o:title="odraz"/>
      </v:shape>
    </w:pict>
  </w:numPicBullet>
  <w:abstractNum w:abstractNumId="0">
    <w:nsid w:val="4E3B7054"/>
    <w:multiLevelType w:val="hybridMultilevel"/>
    <w:tmpl w:val="4134D77E"/>
    <w:lvl w:ilvl="0" w:tplc="8DA44F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CE6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86C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225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106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F610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86A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EA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D02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5B04"/>
    <w:rsid w:val="000D0A2D"/>
    <w:rsid w:val="00255B04"/>
    <w:rsid w:val="002C35DB"/>
    <w:rsid w:val="00806DBA"/>
    <w:rsid w:val="00EA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D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5B0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5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ed.cz/makroekonomie/12_HNP_HDP.htm" TargetMode="External"/><Relationship Id="rId13" Type="http://schemas.openxmlformats.org/officeDocument/2006/relationships/hyperlink" Target="http://www.ceed.cz/makroekonomie/58_mereni_nezam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ed.cz/makroekonomie/52_cena_a_inflace.htm" TargetMode="External"/><Relationship Id="rId12" Type="http://schemas.openxmlformats.org/officeDocument/2006/relationships/hyperlink" Target="http://www.ceed.cz/makroekonomie/68_platebni_bilance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eed.cz/makroekonomie/10_vykonnost_hospodarstvi.htm" TargetMode="External"/><Relationship Id="rId11" Type="http://schemas.openxmlformats.org/officeDocument/2006/relationships/hyperlink" Target="http://www.ceed.cz/makroekonomie/57_nezamest.htm" TargetMode="External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hyperlink" Target="http://www.ceed.cz/makroekonomie/62_svetove_trh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ed.cz/makroekonomie/55_mira-inflace.htm" TargetMode="External"/><Relationship Id="rId14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brendal</dc:creator>
  <cp:lastModifiedBy>brendal</cp:lastModifiedBy>
  <cp:revision>1</cp:revision>
  <dcterms:created xsi:type="dcterms:W3CDTF">2011-03-23T06:30:00Z</dcterms:created>
  <dcterms:modified xsi:type="dcterms:W3CDTF">2011-03-23T06:50:00Z</dcterms:modified>
</cp:coreProperties>
</file>